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End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9"/>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EndPr/>
                <w:sdtContent>
                  <w:p w14:paraId="1F5E0992" w14:textId="4FEA3803" w:rsidR="006E0517" w:rsidRPr="00371F14" w:rsidRDefault="00133BA5" w:rsidP="00954DDD">
                    <w:pPr>
                      <w:jc w:val="center"/>
                      <w:rPr>
                        <w:rFonts w:ascii="Aptos" w:hAnsi="Aptos"/>
                        <w:sz w:val="40"/>
                        <w:szCs w:val="40"/>
                      </w:rPr>
                    </w:pPr>
                    <w:r w:rsidRPr="000406D3">
                      <w:rPr>
                        <w:rStyle w:val="Overskrift2Tegn"/>
                      </w:rPr>
                      <w:t>Hj.pl. Trøjborg/Møllestien</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4B29880" w14:textId="2313EE34" w:rsidR="006E0517" w:rsidRDefault="006E0517">
          <w:r>
            <w:br w:type="page"/>
          </w:r>
        </w:p>
      </w:sdtContent>
    </w:sdt>
    <w:p w14:paraId="333D4620" w14:textId="77777777" w:rsidR="00EB703D" w:rsidRDefault="00EB703D"/>
    <w:p w14:paraId="6188EBBD" w14:textId="677EF1AB" w:rsidR="006E0517" w:rsidRPr="002A2295" w:rsidRDefault="00F15CE7" w:rsidP="00DD7398">
      <w:pPr>
        <w:pStyle w:val="Overskrift1"/>
      </w:pPr>
      <w:r w:rsidRPr="002A2295">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Trøjborg/Møllestien</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Grønnegade 8</w:t>
            </w:r>
          </w:p>
          <w:p w14:paraId="404F28C3" w14:textId="77777777" w:rsidR="002133B8" w:rsidRPr="000406D3" w:rsidRDefault="002133B8" w:rsidP="002133B8">
            <w:pPr>
              <w:rPr>
                <w:rFonts w:ascii="Aptos" w:hAnsi="Aptos"/>
                <w:sz w:val="22"/>
              </w:rPr>
            </w:pPr>
            <w:r w:rsidRPr="000406D3">
              <w:rPr>
                <w:rFonts w:ascii="Aptos" w:hAnsi="Aptos"/>
                <w:sz w:val="22"/>
              </w:rPr>
              <w:t>8000 Aarhus C</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1016630515</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1027381000016002</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12-01-2026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Camilla Mandrup Fjeldmark</w:t>
            </w:r>
          </w:p>
          <w:p w14:paraId="7F3CA0FD" w14:textId="77777777" w:rsidR="00005624" w:rsidRPr="000406D3" w:rsidRDefault="00005624" w:rsidP="00005624">
            <w:pPr>
              <w:rPr>
                <w:rFonts w:ascii="Aptos" w:hAnsi="Aptos"/>
                <w:sz w:val="22"/>
              </w:rPr>
            </w:pPr>
            <w:r w:rsidRPr="008C66C1">
              <w:rPr>
                <w:rFonts w:ascii="Aptos" w:hAnsi="Aptos"/>
                <w:sz w:val="22"/>
              </w:rPr>
              <w:t>Maria Foged</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w:t>
            </w:r>
            <w:r w:rsidRPr="00DE4003">
              <w:rPr>
                <w:rFonts w:ascii="Aptos" w:hAnsi="Aptos"/>
                <w:sz w:val="22"/>
              </w:rPr>
              <w:br/>
              <w:t>Tilsynet var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To social- og sundhedsassistenter</w:t>
            </w:r>
            <w:r w:rsidR="00DE4003" w:rsidRPr="00DE4003">
              <w:rPr>
                <w:rFonts w:ascii="Aptos" w:hAnsi="Aptos"/>
                <w:sz w:val="22"/>
              </w:rPr>
              <w:br/>
              <w:t>· To social- og sundhedshjælpere</w:t>
            </w:r>
            <w:r w:rsidR="00DE4003" w:rsidRPr="00DE4003">
              <w:rPr>
                <w:rFonts w:ascii="Aptos" w:hAnsi="Aptos"/>
                <w:sz w:val="22"/>
              </w:rPr>
              <w:br/>
              <w:t>· En terapeut</w:t>
            </w:r>
            <w:r w:rsidR="00DE4003" w:rsidRPr="00DE4003">
              <w:rPr>
                <w:rFonts w:ascii="Aptos" w:hAnsi="Aptos"/>
                <w:sz w:val="22"/>
              </w:rPr>
              <w:br/>
              <w:t>· En kvalitetskonsulent</w:t>
            </w:r>
            <w:r w:rsidR="00DE4003" w:rsidRPr="00DE4003">
              <w:rPr>
                <w:rFonts w:ascii="Aptos" w:hAnsi="Aptos"/>
                <w:sz w:val="22"/>
              </w:rPr>
              <w:br/>
              <w:t>· Viceleder, Diana Wardi</w:t>
            </w:r>
            <w:r w:rsidR="00DE4003" w:rsidRPr="00DE4003">
              <w:rPr>
                <w:rFonts w:ascii="Aptos" w:hAnsi="Aptos"/>
                <w:sz w:val="22"/>
              </w:rPr>
              <w:br/>
              <w:t>· Leder, Connie Christensen</w:t>
            </w:r>
            <w:r w:rsidR="00DE4003" w:rsidRPr="00DE4003">
              <w:rPr>
                <w:rFonts w:ascii="Aptos" w:hAnsi="Aptos"/>
                <w:sz w:val="22"/>
              </w:rPr>
              <w:br/>
              <w:t>· Distriktschef i distrikt midt, Kim Pinderup</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En kvalitetskonsulent fra Aarhus kommune</w:t>
            </w:r>
            <w:r w:rsidRPr="00DE4003">
              <w:rPr>
                <w:rFonts w:ascii="Aptos" w:hAnsi="Aptos"/>
                <w:sz w:val="22"/>
              </w:rPr>
              <w:br/>
              <w:t>· Viceleder, Diana Wardi</w:t>
            </w:r>
            <w:r w:rsidRPr="00DE4003">
              <w:rPr>
                <w:rFonts w:ascii="Aptos" w:hAnsi="Aptos"/>
                <w:sz w:val="22"/>
              </w:rPr>
              <w:br/>
              <w:t>· Leder, Connie Christensen</w:t>
            </w:r>
            <w:r w:rsidRPr="00DE4003">
              <w:rPr>
                <w:rFonts w:ascii="Aptos" w:hAnsi="Aptos"/>
                <w:sz w:val="22"/>
              </w:rPr>
              <w:br/>
              <w:t>· Distriktschef i distrikt midt, Pia Pinderup</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Enkelt interview af:</w:t>
            </w:r>
            <w:r w:rsidR="00DE4003" w:rsidRPr="00DE4003">
              <w:rPr>
                <w:rFonts w:ascii="Aptos" w:hAnsi="Aptos"/>
                <w:sz w:val="22"/>
              </w:rPr>
              <w:br/>
              <w:t>· To borgere</w:t>
            </w:r>
            <w:r w:rsidR="00DE4003" w:rsidRPr="00DE4003">
              <w:rPr>
                <w:rFonts w:ascii="Aptos" w:hAnsi="Aptos"/>
                <w:sz w:val="22"/>
              </w:rPr>
              <w:br/>
              <w:t>· To pårørende</w:t>
            </w:r>
            <w:r w:rsidR="00DE4003" w:rsidRPr="00DE4003">
              <w:rPr>
                <w:rFonts w:ascii="Aptos" w:hAnsi="Aptos"/>
                <w:sz w:val="22"/>
              </w:rPr>
              <w:br/>
            </w:r>
            <w:r w:rsidR="00DE4003" w:rsidRPr="00DE4003">
              <w:rPr>
                <w:rFonts w:ascii="Aptos" w:hAnsi="Aptos"/>
                <w:sz w:val="22"/>
              </w:rPr>
              <w:br/>
              <w:t>Gruppe interview af:</w:t>
            </w:r>
            <w:r w:rsidR="00DE4003" w:rsidRPr="00DE4003">
              <w:rPr>
                <w:rFonts w:ascii="Aptos" w:hAnsi="Aptos"/>
                <w:sz w:val="22"/>
              </w:rPr>
              <w:br/>
              <w:t>· Fem medarbejdere</w:t>
            </w:r>
            <w:r w:rsidR="00DE4003" w:rsidRPr="00DE4003">
              <w:rPr>
                <w:rFonts w:ascii="Aptos" w:hAnsi="Aptos"/>
                <w:sz w:val="22"/>
              </w:rPr>
              <w:br/>
              <w:t>· Viceleder, Diana Wardi, Leder, Connie Christensen og En kvalitetskonsulent</w:t>
            </w:r>
            <w:r w:rsidR="00DE4003" w:rsidRPr="00DE4003">
              <w:rPr>
                <w:rFonts w:ascii="Aptos" w:hAnsi="Aptos"/>
                <w:sz w:val="22"/>
              </w:rPr>
              <w:br/>
            </w:r>
            <w:r w:rsidR="00DE4003" w:rsidRPr="00DE4003">
              <w:rPr>
                <w:rFonts w:ascii="Aptos" w:hAnsi="Aptos"/>
                <w:sz w:val="22"/>
              </w:rPr>
              <w:br/>
              <w:t>· Observation af helhedspleje udført af en social- og sundhedsassistent ved en borger i eget hjem.</w:t>
            </w:r>
            <w:r w:rsidR="00DE4003" w:rsidRPr="00DE4003">
              <w:rPr>
                <w:rFonts w:ascii="Aptos" w:hAnsi="Aptos"/>
                <w:sz w:val="22"/>
              </w:rPr>
              <w:br/>
              <w:t>· Observation af fællesarealer</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t>Sagsnr.:</w:t>
            </w:r>
          </w:p>
          <w:p w14:paraId="6EDAAE78" w14:textId="1B128EC2" w:rsidR="00F15CE7" w:rsidRPr="000406D3" w:rsidRDefault="00061AC4" w:rsidP="00D65541">
            <w:pPr>
              <w:rPr>
                <w:rFonts w:ascii="Aptos" w:hAnsi="Aptos"/>
                <w:sz w:val="22"/>
              </w:rPr>
            </w:pPr>
            <w:r w:rsidRPr="000406D3">
              <w:rPr>
                <w:rFonts w:ascii="Aptos" w:hAnsi="Aptos"/>
                <w:sz w:val="22"/>
              </w:rPr>
              <w:t>SAG-25/2667</w:t>
            </w:r>
          </w:p>
          <w:p w14:paraId="2AC3B09F" w14:textId="77777777" w:rsidR="00737B64" w:rsidRPr="000406D3" w:rsidRDefault="00737B64" w:rsidP="00D65541">
            <w:pPr>
              <w:rPr>
                <w:rFonts w:ascii="Aptos" w:hAnsi="Aptos"/>
                <w:sz w:val="22"/>
              </w:rPr>
            </w:pPr>
          </w:p>
        </w:tc>
      </w:tr>
    </w:tbl>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Aarhus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 Team midt</w:t>
            </w:r>
            <w:r w:rsidRPr="00B24AD5">
              <w:rPr>
                <w:rFonts w:ascii="Aptos" w:hAnsi="Aptos"/>
                <w:sz w:val="22"/>
              </w:rPr>
              <w:br/>
              <w:t>· Team Trøjborg</w:t>
            </w:r>
            <w:r w:rsidRPr="00B24AD5">
              <w:rPr>
                <w:rFonts w:ascii="Aptos" w:hAnsi="Aptos"/>
                <w:sz w:val="22"/>
              </w:rPr>
              <w:br/>
              <w:t>· Team Generationernes hus og Århus Ø</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184 borgere</w:t>
            </w:r>
          </w:p>
          <w:p w14:paraId="1E10C071" w14:textId="035552FE" w:rsidR="00503C42" w:rsidRPr="00764A3A" w:rsidRDefault="00503C42" w:rsidP="006C0F2E">
            <w:pPr>
              <w:rPr>
                <w:rFonts w:ascii="Aptos" w:hAnsi="Aptos"/>
                <w:sz w:val="22"/>
              </w:rPr>
            </w:pPr>
          </w:p>
        </w:tc>
      </w:tr>
      <w:tr w:rsidR="000070D7" w:rsidRPr="00537AE8"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Pr="00537AE8" w:rsidRDefault="00064525" w:rsidP="006C0F2E">
            <w:pPr>
              <w:rPr>
                <w:rFonts w:ascii="Aptos" w:hAnsi="Aptos"/>
                <w:sz w:val="22"/>
                <w:lang w:val="en-US"/>
              </w:rPr>
            </w:pPr>
            <w:r w:rsidRPr="00537AE8">
              <w:rPr>
                <w:rFonts w:ascii="Aptos" w:hAnsi="Aptos"/>
                <w:sz w:val="22"/>
                <w:lang w:val="en-US"/>
              </w:rPr>
              <w:t>· Leder, Connie Christensen</w:t>
            </w:r>
            <w:r w:rsidRPr="00537AE8">
              <w:rPr>
                <w:rFonts w:ascii="Aptos" w:hAnsi="Aptos"/>
                <w:sz w:val="22"/>
                <w:lang w:val="en-US"/>
              </w:rPr>
              <w:br/>
              <w:t>· Viceleder, Diana Wardi</w:t>
            </w:r>
          </w:p>
          <w:p w14:paraId="04FD5692" w14:textId="5614193D" w:rsidR="00064525" w:rsidRPr="00537AE8" w:rsidRDefault="00064525" w:rsidP="006C0F2E">
            <w:pPr>
              <w:rPr>
                <w:rFonts w:ascii="Aptos" w:hAnsi="Aptos"/>
                <w:sz w:val="22"/>
                <w:lang w:val="en-US"/>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 12 Social- og sundhedsassistenter</w:t>
            </w:r>
            <w:r w:rsidRPr="00064525">
              <w:rPr>
                <w:rFonts w:ascii="Aptos" w:hAnsi="Aptos"/>
                <w:sz w:val="22"/>
              </w:rPr>
              <w:br/>
              <w:t>· 25 Social- og sundhedshjælpere</w:t>
            </w:r>
            <w:r w:rsidRPr="00064525">
              <w:rPr>
                <w:rFonts w:ascii="Aptos" w:hAnsi="Aptos"/>
                <w:sz w:val="22"/>
              </w:rPr>
              <w:br/>
              <w:t>· Fire sygeplejersker</w:t>
            </w:r>
            <w:r w:rsidRPr="00064525">
              <w:rPr>
                <w:rFonts w:ascii="Aptos" w:hAnsi="Aptos"/>
                <w:sz w:val="22"/>
              </w:rPr>
              <w:br/>
              <w:t>· En fysioterapeut</w:t>
            </w:r>
            <w:r w:rsidRPr="00064525">
              <w:rPr>
                <w:rFonts w:ascii="Aptos" w:hAnsi="Aptos"/>
                <w:sz w:val="22"/>
              </w:rPr>
              <w:br/>
              <w:t>· En ergoterapeut</w:t>
            </w:r>
            <w:r w:rsidRPr="00064525">
              <w:rPr>
                <w:rFonts w:ascii="Aptos" w:hAnsi="Aptos"/>
                <w:sz w:val="22"/>
              </w:rPr>
              <w:br/>
              <w:t>· En kompetenceudviklende ergoterapeut</w:t>
            </w:r>
            <w:r w:rsidRPr="00064525">
              <w:rPr>
                <w:rFonts w:ascii="Aptos" w:hAnsi="Aptos"/>
                <w:sz w:val="22"/>
              </w:rPr>
              <w:br/>
              <w:t>· En kompetenceudviklende sygeplejerske</w:t>
            </w:r>
            <w:r w:rsidRPr="00064525">
              <w:rPr>
                <w:rFonts w:ascii="Aptos" w:hAnsi="Aptos"/>
                <w:sz w:val="22"/>
              </w:rPr>
              <w:br/>
              <w:t>· To uuddannede medarbejdere</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t>Øvrige relevante oplysninger:</w:t>
            </w:r>
          </w:p>
          <w:p w14:paraId="375EE18D" w14:textId="77777777" w:rsidR="000070D7" w:rsidRPr="00764A3A" w:rsidRDefault="000070D7" w:rsidP="006C0F2E">
            <w:pPr>
              <w:rPr>
                <w:rFonts w:ascii="Aptos" w:hAnsi="Aptos"/>
                <w:sz w:val="22"/>
              </w:rPr>
            </w:pPr>
          </w:p>
          <w:p w14:paraId="2C64DD1F" w14:textId="77777777" w:rsidR="000070D7" w:rsidRDefault="00064525" w:rsidP="006C0F2E">
            <w:pPr>
              <w:rPr>
                <w:rFonts w:ascii="Aptos" w:hAnsi="Aptos"/>
                <w:sz w:val="22"/>
              </w:rPr>
            </w:pPr>
            <w:r w:rsidRPr="00064525">
              <w:rPr>
                <w:rFonts w:ascii="Aptos" w:hAnsi="Aptos"/>
                <w:sz w:val="22"/>
              </w:rPr>
              <w:t>Leverandøren har lige overtaget helhedsplejen ved Generationernes hus og Aarhus Ø efter omstruktureringer i Aarhus kommune</w:t>
            </w:r>
          </w:p>
          <w:p w14:paraId="498BCFCD" w14:textId="386B3E05" w:rsidR="00064525" w:rsidRPr="00764A3A" w:rsidRDefault="00064525" w:rsidP="006C0F2E">
            <w:pPr>
              <w:rPr>
                <w:rFonts w:ascii="Aptos" w:hAnsi="Aptos"/>
                <w:sz w:val="22"/>
              </w:rPr>
            </w:pPr>
          </w:p>
        </w:tc>
      </w:tr>
    </w:tbl>
    <w:p w14:paraId="263E2785" w14:textId="77777777" w:rsidR="00F15CE7" w:rsidRDefault="00F15CE7" w:rsidP="00F15CE7"/>
    <w:p w14:paraId="32F41572" w14:textId="77777777" w:rsidR="00AA591E" w:rsidRDefault="00AA591E">
      <w:pPr>
        <w:rPr>
          <w:rFonts w:asciiTheme="majorHAnsi" w:eastAsiaTheme="majorEastAsia" w:hAnsiTheme="majorHAnsi" w:cstheme="majorBidi"/>
          <w:color w:val="000000" w:themeColor="accent1" w:themeShade="BF"/>
          <w:sz w:val="32"/>
          <w:szCs w:val="32"/>
        </w:rPr>
      </w:pPr>
      <w:r>
        <w:br w:type="page"/>
      </w:r>
    </w:p>
    <w:p w14:paraId="43829951" w14:textId="039F0C4A" w:rsidR="00F15CE7" w:rsidRPr="002A2295" w:rsidRDefault="00F15CE7" w:rsidP="00163819">
      <w:pPr>
        <w:pStyle w:val="Overskrift1"/>
      </w:pPr>
      <w:r w:rsidRPr="002A2295">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Trøjborg/Møllestien</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Plejeenheden fremstår samlet set med god kvalitet. </w:t>
            </w:r>
            <w:r w:rsidRPr="001C647D">
              <w:rPr>
                <w:rFonts w:ascii="Aptos" w:hAnsi="Aptos"/>
                <w:sz w:val="22"/>
              </w:rPr>
              <w:br/>
            </w:r>
            <w:r w:rsidRPr="001C647D">
              <w:rPr>
                <w:rFonts w:ascii="Aptos" w:hAnsi="Aptos"/>
                <w:sz w:val="22"/>
              </w:rPr>
              <w:br/>
              <w:t xml:space="preserve">Ældretilsynet vurderer, at der ingen væsentlige udfordringer er med kvaliteten i helhedsplejen.  </w:t>
            </w:r>
            <w:r w:rsidRPr="001C647D">
              <w:rPr>
                <w:rFonts w:ascii="Aptos" w:hAnsi="Aptos"/>
                <w:sz w:val="22"/>
              </w:rPr>
              <w:br/>
            </w:r>
            <w:r w:rsidRPr="001C647D">
              <w:rPr>
                <w:rFonts w:ascii="Aptos" w:hAnsi="Aptos"/>
                <w:sz w:val="22"/>
              </w:rPr>
              <w:br/>
              <w:t xml:space="preserve">Den samlede vurdering tager afsæt i følgende: </w:t>
            </w:r>
            <w:r w:rsidRPr="001C647D">
              <w:rPr>
                <w:rFonts w:ascii="Aptos" w:hAnsi="Aptos"/>
                <w:sz w:val="22"/>
              </w:rPr>
              <w:br/>
              <w:t>· At borgerne oplever kontinuitet, sammenhæng og inddragelse i helhedsplejen, og at leverandøren arbejder systematisk med at understøtte dette.</w:t>
            </w:r>
            <w:r w:rsidRPr="001C647D">
              <w:rPr>
                <w:rFonts w:ascii="Aptos" w:hAnsi="Aptos"/>
                <w:sz w:val="22"/>
              </w:rPr>
              <w:br/>
            </w:r>
            <w:r w:rsidRPr="001C647D">
              <w:rPr>
                <w:rFonts w:ascii="Aptos" w:hAnsi="Aptos"/>
                <w:sz w:val="22"/>
              </w:rPr>
              <w:br/>
              <w:t>· At leverandøren arbejder systematisk med metoder, der understøtter borgernes selvbestemmelse – særligt hos borgere med særlige behov</w:t>
            </w:r>
            <w:r w:rsidRPr="001C647D">
              <w:rPr>
                <w:rFonts w:ascii="Aptos" w:hAnsi="Aptos"/>
                <w:sz w:val="22"/>
              </w:rPr>
              <w:br/>
            </w:r>
            <w:r w:rsidRPr="001C647D">
              <w:rPr>
                <w:rFonts w:ascii="Aptos" w:hAnsi="Aptos"/>
                <w:sz w:val="22"/>
              </w:rPr>
              <w:br/>
              <w:t>· At medarbejderne udtrykker tillid til ledelsen og at ledelsen er tilgængelig, kompetent og understøtter et tillidsfuldt og fagligt stærkt samarbejde.</w:t>
            </w:r>
            <w:r w:rsidRPr="001C647D">
              <w:rPr>
                <w:rFonts w:ascii="Aptos" w:hAnsi="Aptos"/>
                <w:sz w:val="22"/>
              </w:rPr>
              <w:br/>
            </w:r>
            <w:r w:rsidRPr="001C647D">
              <w:rPr>
                <w:rFonts w:ascii="Aptos" w:hAnsi="Aptos"/>
                <w:sz w:val="22"/>
              </w:rPr>
              <w:br/>
              <w:t>· At borgerne og pårørende oplever relevant inddragelse og at medarbejderne får inddraget lokale fællesskaber og civilsamfund hvor det er til gavn for den enkelte borger</w:t>
            </w:r>
            <w:r w:rsidRPr="001C647D">
              <w:rPr>
                <w:rFonts w:ascii="Aptos" w:hAnsi="Aptos"/>
                <w:sz w:val="22"/>
              </w:rPr>
              <w:br/>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 xml:space="preserve">Hele tema 1 “Den ældres selvbestemmelse” </w:t>
            </w:r>
            <w:r w:rsidRPr="001C647D">
              <w:rPr>
                <w:rFonts w:ascii="Aptos" w:hAnsi="Aptos"/>
                <w:sz w:val="22"/>
              </w:rPr>
              <w:br/>
              <w:t xml:space="preserve">Hele tema 2 “Tillid til medarbejdere og den borgernære ledelse” </w:t>
            </w:r>
            <w:r w:rsidRPr="001C647D">
              <w:rPr>
                <w:rFonts w:ascii="Aptos" w:hAnsi="Aptos"/>
                <w:sz w:val="22"/>
              </w:rPr>
              <w:br/>
              <w:t>Hele tema 3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335B9BE" w14:textId="262ED803" w:rsidR="00F15CE7" w:rsidRDefault="001C647D" w:rsidP="001C647D">
            <w:pPr>
              <w:spacing w:before="240"/>
              <w:rPr>
                <w:rFonts w:ascii="Aptos" w:hAnsi="Aptos"/>
                <w:sz w:val="22"/>
              </w:rPr>
            </w:pPr>
            <w:r w:rsidRPr="001C647D">
              <w:rPr>
                <w:rFonts w:ascii="Aptos" w:hAnsi="Aptos"/>
                <w:sz w:val="22"/>
              </w:rPr>
              <w:t>Ingen</w:t>
            </w:r>
          </w:p>
          <w:p w14:paraId="4E097E86" w14:textId="77777777" w:rsidR="0012124F" w:rsidRDefault="0012124F" w:rsidP="00F15CE7">
            <w:pPr>
              <w:rPr>
                <w:rFonts w:ascii="Aptos" w:hAnsi="Aptos"/>
                <w:sz w:val="22"/>
              </w:rPr>
            </w:pPr>
          </w:p>
          <w:p w14:paraId="23A2DB74" w14:textId="77777777" w:rsidR="0012124F" w:rsidRDefault="0012124F" w:rsidP="00F15CE7">
            <w:pPr>
              <w:rPr>
                <w:rFonts w:ascii="Aptos" w:hAnsi="Aptos"/>
                <w:sz w:val="22"/>
              </w:rPr>
            </w:pPr>
          </w:p>
          <w:p w14:paraId="0CE75795" w14:textId="77777777" w:rsidR="0012124F" w:rsidRDefault="0012124F" w:rsidP="00F15CE7">
            <w:pPr>
              <w:rPr>
                <w:rFonts w:ascii="Aptos" w:hAnsi="Aptos"/>
                <w:sz w:val="22"/>
              </w:rPr>
            </w:pPr>
          </w:p>
          <w:p w14:paraId="710286DE" w14:textId="77777777" w:rsidR="0012124F" w:rsidRPr="00764A3A" w:rsidRDefault="0012124F" w:rsidP="00F15CE7">
            <w:pPr>
              <w:rPr>
                <w:rFonts w:ascii="Aptos" w:hAnsi="Aptos"/>
                <w:sz w:val="22"/>
              </w:rPr>
            </w:pPr>
          </w:p>
        </w:tc>
      </w:tr>
    </w:tbl>
    <w:p w14:paraId="4AC6DF8A" w14:textId="37F8042F" w:rsidR="00653405" w:rsidRDefault="00653405" w:rsidP="00F15CE7"/>
    <w:p w14:paraId="40C555B1" w14:textId="77777777" w:rsidR="00653405" w:rsidRDefault="00653405">
      <w:r>
        <w:br w:type="page"/>
      </w:r>
    </w:p>
    <w:p w14:paraId="47E62184" w14:textId="49A60250" w:rsidR="00653405" w:rsidRPr="00BA2E29" w:rsidRDefault="00653405" w:rsidP="00BA2E29">
      <w:pPr>
        <w:pStyle w:val="Overskrift2"/>
        <w:rPr>
          <w:b/>
          <w:bCs/>
        </w:rPr>
      </w:pPr>
      <w:r w:rsidRPr="00BA2E29">
        <w:rPr>
          <w:b/>
          <w:bCs/>
        </w:rPr>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37EF865" w14:textId="4EFD6515" w:rsidR="00653405" w:rsidRPr="00764A3A" w:rsidRDefault="00825288" w:rsidP="006E4F59">
            <w:pPr>
              <w:spacing w:before="240"/>
              <w:rPr>
                <w:rFonts w:ascii="Aptos" w:hAnsi="Aptos"/>
                <w:sz w:val="22"/>
              </w:rPr>
            </w:pPr>
            <w:r w:rsidRPr="00825288">
              <w:rPr>
                <w:rFonts w:ascii="Aptos" w:hAnsi="Aptos"/>
                <w:sz w:val="22"/>
              </w:rPr>
              <w:t xml:space="preserve">Ældretilsynet vurderer, at plejeenheden har god kvalitet i forhold til temaet "Den ældres selvbestemmelse". </w:t>
            </w:r>
            <w:r w:rsidRPr="00825288">
              <w:rPr>
                <w:rFonts w:ascii="Aptos" w:hAnsi="Aptos"/>
                <w:sz w:val="22"/>
              </w:rPr>
              <w:br/>
            </w:r>
            <w:r w:rsidRPr="00825288">
              <w:rPr>
                <w:rFonts w:ascii="Aptos" w:hAnsi="Aptos"/>
                <w:sz w:val="22"/>
              </w:rPr>
              <w:br/>
              <w:t>Alle markører i temaet er opfyldt.</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En borger fortæller i interview, at medarbejderne har kendskab til de mindste detaljer omkring de opgaver, der skal udføres. En anden borger fortæller dertil, at medarbejderne er altid opdateret omkring ændringer i helhedsplejen. Begge borgere fortæller i interview, at det er de samme få medarbejdere, der kommer og hjælper dem i hjemmet. Dette understøttes i interview med pårørende, der videre fortæller, at der ved ferier er få vikarer inde, men at disse også har kendskab til de opgaver der skal udføres ved borgeren. Ældretilsynet observerer ved morgenpleje, at både borger og pårørende bliver glade, for at se medarbejderen igen, efter vedkommende har holdt ferie. Både borgeren og pårørende fortæller i interview, at den samme medarbejder varetog plejen under den faste medarbejders ferie. Dette kan indikere, at leverandøren arbejder systematisk med kontinuitet.  Fem medarbejdere fortæller i interview, at der arbejdes ud fra en kontaktpersonsordning, og at leverandørens ressource koordinator planlægger medarbejdernes ruter, så der er størst kontinuitet hos borgerne. Dette understøttes i interview med ledelsen. Ældretilsynet observerer ligeledes ved rundvisning, at der er en tavle hvor alle medarbejderne er inddelt i teams. Her fremgår det, hvilke borgere medarbejderne er kontaktpersoner for. Ældretilsynet spørg en medarbejdere omkring brugen af tavlen, hvortil medarbejderen svarer, at hvis borgerne eller samarbejdspartner henvender sig omkring problematikker eller ønsker, giver det et hurtigt overblik over, hvem der er kontaktpersonen. Ligeledes fortæller medarbejderen, at der arbejdes ud fra, at medarbejderne kommer ved de borgere, de er kontaktpersoner for. Dette kan indikere, at leverandøren arbejder med kontinuitet omkring borgerne. Ældretilsynet vurderer derfor, at borgeren oplever, at der er kontinuitet og sammenhæng i den hjælp og støtte, der modtages. Ældretilsynet vurderer ligeledes, at leverandøren arbejder systematisk med at sikre, at der er kontinuitet i helhedsplejen samt færrest mulige forskellige medarbejdere i hjemmet.</w:t>
            </w:r>
            <w:r w:rsidRPr="00825288">
              <w:rPr>
                <w:rFonts w:ascii="Aptos" w:hAnsi="Aptos"/>
                <w:sz w:val="22"/>
              </w:rPr>
              <w:br/>
            </w:r>
            <w:r w:rsidRPr="00825288">
              <w:rPr>
                <w:rFonts w:ascii="Aptos" w:hAnsi="Aptos"/>
                <w:sz w:val="22"/>
              </w:rPr>
              <w:br/>
              <w:t>· En borger fortæller i interview, at borgers besøg er rettet ind efter vedkommendes ønsker, og at der opleves stor fleksibilitet fra medarbejdernes side af ift. at få besøgende til at passe. Videre fortæller borgeren, at skulle der opstå andre eller akutte behov, kan medarbejderne altid tilkaldes. Dette understøttes i interview med en anden borger. Ældretilsynet observerer under morgen koordinering, at en borger har ønske om, at medarbejderne kommer tidligt, og derfor må medarbejderen afsted. Dette kan indikere, at medarbejderne inddrager borgerens ønsker. Fem medarbejdere fortæller i interview, at der arbejdes ud fra Aarhus Kommunes forløbsmodel, som er en model, der sætter borgerens ønsker og individuelle mål i fokus. Medarbejderne fortæller videre, at via denne model er der systematisk opfølgning på forløbene med tilpasset samtaler. F.eks. er der samtale med borgerne og pårørende fastsat til at være første gang indenfor 48 timer, for afdækning af behovet for hjælp. Herefter syv dage efter, for planlægning af individuelle mål og sidst efter de første 8 uger for afdækning af videre forløb om borger skal i et varigt forløb eller er blevet selvhjulpen. I varige forløb afholdes der faste opfølgningssamtaler hver 52. uge. En af medarbejderne supplerer med, at der en gang om ugen er et forløbsmøde, som er et fagligt møde mellem sygeplejerskerne og terapeuterne. Her revurderes alle borgere i forløb. Ydermere fortæller medarbejderne, at de lytter til borgerne og forøger at imødekomme deres ønsker for hele døgnet. Medarbejderne fortæller dertil, at ved ændringer hos borgeren, er der tværfagligt samarbejde mellem kontaktpersonen, sygeplejersken, kompetenceudviklende medarbejder og terapeuterne omkring videre forløb med udgangspunkt i borgerens ønske. Denne viden bredes ud til alle medarbejderne bl.a. via deres dokumentationssystem og til morgen møderne af enten kompetenceudviklende medarbejder eller kontaktpersonen. Dette understøttes i interview med ledelsen. Ældretilsynet vurderer derfor, at leverandøren arbejder systematisk og fleksibelt med at inddrage borgerens ønsker og behov i helhedsplejen på tværs af døgnet og faggrupper.</w:t>
            </w:r>
            <w:r w:rsidRPr="00825288">
              <w:rPr>
                <w:rFonts w:ascii="Aptos" w:hAnsi="Aptos"/>
                <w:sz w:val="22"/>
              </w:rPr>
              <w:br/>
            </w:r>
            <w:r w:rsidRPr="00825288">
              <w:rPr>
                <w:rFonts w:ascii="Aptos" w:hAnsi="Aptos"/>
                <w:sz w:val="22"/>
              </w:rPr>
              <w:br/>
              <w:t>· Fem medarbejdere fortæller i interview, at der anvendes dokumentation indenfor Fællessprog III ved alle borgere. Ved borgere med særlige behov anvendes der yderligere beskrivelse af tilgang til borgeren på borgerens overblik. Medarbejderne fortæller videre, at der ved borgere med særligt behov laves et lille team af faste medarbejdere, som fremadrettet er dem der kommer ved borgerne. Disse medarbejdere har samarbejde med bl.a. demenskonsulenten eller hjerneteamet ift. den personcentreret tilgang til borgerne. Medarbejderne forklarer desuden, at møder med samarbejdspartnerne altid imødekommes af ledelsen, når der er behov for opfølgning på borgeren. De øvrige medarbejdere orienteres om ændringer ved morgenmøderne. Dette understøttes i interview med ledelsen. Ældretilsynet får under interview fremvist dokumentation af en særlig tilgang ved en borger. Her fremgår det tydeligt, hvilke tilgange medarbejderne skal arbejde ud fra omkring borgeren med særlige behov i forskellige situationer. Denne tilgang er udarbejdet i det tværfaglige team i samarbejde med borgeren og psykiatrien. Dette kan indikere, at medarbejderne arbejder med metoder, der sikrer viden om borgerens livshistorie, ønsker og behov, så de bedre kan tilgodese borgerens ønsker og særlige behov. Ældretilsynet vurderer derfor, at leverandøren arbejder systematisk med metoder, der tilgodeser selvbestemmelsen hos borgere med særlige behov såsom borgere med demenssygdomme, andre kognitive funktionsnedsættelser, psykiske lidelser, misbrug m.fl.</w:t>
            </w:r>
          </w:p>
          <w:p w14:paraId="084ADBD5" w14:textId="77777777" w:rsidR="00336A9E" w:rsidRPr="00764A3A" w:rsidRDefault="00336A9E" w:rsidP="00D65541">
            <w:pPr>
              <w:rPr>
                <w:rFonts w:ascii="Aptos" w:hAnsi="Aptos"/>
                <w:sz w:val="22"/>
              </w:rPr>
            </w:pPr>
          </w:p>
          <w:p w14:paraId="4676EEC8" w14:textId="77777777" w:rsidR="00336A9E" w:rsidRPr="00764A3A" w:rsidRDefault="00336A9E" w:rsidP="00D65541">
            <w:pPr>
              <w:rPr>
                <w:rFonts w:ascii="Aptos" w:hAnsi="Aptos"/>
                <w:sz w:val="22"/>
              </w:rPr>
            </w:pPr>
          </w:p>
          <w:p w14:paraId="06E2CDF8" w14:textId="77777777" w:rsidR="00336A9E" w:rsidRPr="00764A3A" w:rsidRDefault="00336A9E" w:rsidP="00D65541">
            <w:pPr>
              <w:rPr>
                <w:rFonts w:ascii="Aptos" w:hAnsi="Aptos"/>
                <w:sz w:val="22"/>
              </w:rPr>
            </w:pPr>
          </w:p>
          <w:p w14:paraId="2FF86B06" w14:textId="77777777" w:rsidR="00336A9E" w:rsidRPr="00764A3A" w:rsidRDefault="00336A9E" w:rsidP="00D65541">
            <w:pPr>
              <w:rPr>
                <w:rFonts w:ascii="Aptos" w:hAnsi="Aptos"/>
                <w:sz w:val="22"/>
              </w:rPr>
            </w:pP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23E5850A" w:rsidR="00336A9E" w:rsidRPr="00764A3A" w:rsidRDefault="00825288" w:rsidP="00825288">
            <w:pPr>
              <w:spacing w:before="240"/>
              <w:rPr>
                <w:rFonts w:ascii="Aptos" w:hAnsi="Aptos"/>
                <w:sz w:val="22"/>
              </w:rPr>
            </w:pPr>
            <w:r w:rsidRPr="00825288">
              <w:rPr>
                <w:rFonts w:ascii="Aptos" w:hAnsi="Aptos"/>
                <w:sz w:val="22"/>
              </w:rPr>
              <w:t xml:space="preserve">Ældretilsynet vurderer, at plejeenheden har god kvalitet i forhold til temaet "Tillid til medarbejderen og den borgernære ledelse”. </w:t>
            </w:r>
            <w:r w:rsidRPr="00825288">
              <w:rPr>
                <w:rFonts w:ascii="Aptos" w:hAnsi="Aptos"/>
                <w:sz w:val="22"/>
              </w:rPr>
              <w:br/>
            </w:r>
            <w:r w:rsidRPr="00825288">
              <w:rPr>
                <w:rFonts w:ascii="Aptos" w:hAnsi="Aptos"/>
                <w:sz w:val="22"/>
              </w:rPr>
              <w:br/>
              <w:t>Alle markører i temaet er opfyldt.</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Fem medarbejdere fortæller i interview, at ledelsen er tilgængelig og synlig for medarbejderne i dagligdagen. F.eks. er ledelsen meget synlig og kommer ofte rundt på hele afdelingen. Dertil fortæller medarbejderne i interview, at ledelsen er deltagende i de forskellige tværfaglige møder, ved morgenmøderne og to gange om ugen til aftenvagtsmøderne. Medarbejderne fortæller videre, at der er dagvagter der har overlap med aftenvagterne, og nogle aftenvagter møder ind kl. 13.30, hvor ledelsen også træffes. Medarbejdere fortæller, at de kompetenceudviklende medarbejdere også arbejder i aftenvagt, for at sikre faglighed på tværs af døgnet. Samme medarbejdere fortæller desuden, at ledelsen er til at træffe telefonisk i ydertimerne, weekender og helligdage, hvis der opstår akutte problemstillinger, og ved fravær informerer ledelsen om, hvilken anden leder medarbejderne kan kontakte. Ledelsen understøtter dette i interview. Ældretilsynet observerer på fællesarealerne, at ledelsen er synlig, opmærksom og imødekommende overfor medarbejderne. Ældretilsynet observerer, at viceleder siger til en medarbejder, at vedkommende mangler medicinkursus, og dette er medarbejderen meldt til af leder. Dette kan indikere, at ledelsen har kendskab til medarbejdernes kompetencer og er tilgængelig og nærværende. Ældretilsynet vurderer derfor, at leverandørens ledelse er tilgængelig for faglig sparring på tværs af døgnet og faggrupper.</w:t>
            </w:r>
            <w:r w:rsidRPr="00825288">
              <w:rPr>
                <w:rFonts w:ascii="Aptos" w:hAnsi="Aptos"/>
                <w:sz w:val="22"/>
              </w:rPr>
              <w:br/>
            </w:r>
            <w:r w:rsidRPr="00825288">
              <w:rPr>
                <w:rFonts w:ascii="Aptos" w:hAnsi="Aptos"/>
                <w:sz w:val="22"/>
              </w:rPr>
              <w:br/>
              <w:t xml:space="preserve">· Fem medarbejdere fortæller i interview, at der ved opstart hos leverandøren udleveres telefonliste til borgerne, hvor bl.a. leders nummer står oplyst i tilfælde af, at borgerne skulle ønske kontakt med ledelsen. Videre adspurgt til samarbejdet fortæller medarbejderne, at der forligger klare retningslinjer for, hvornår der skal være samtaler med borgere og pårørende. I disse samtaler er der bl.a. opfølgning på mål, ønsker og fremtidigt samarbejde med medarbejderne og ledelsen. Medarbejderne fortæller videre, at ved ændringer af behov hos borger og pårørende drøftes dette på et tværfagligt møde, hvor ledelsen også er tilgængelig. Dette understøttes i interview med ledelsen, som videre fortæller, at viceleder fortsat kan have vagter i helhedsplejen, for bl.a. at møde og lære nye borgere at kende, men også for at </w:t>
            </w:r>
            <w:r w:rsidR="00537AE8" w:rsidRPr="00825288">
              <w:rPr>
                <w:rFonts w:ascii="Aptos" w:hAnsi="Aptos"/>
                <w:sz w:val="22"/>
              </w:rPr>
              <w:t>imødekomme</w:t>
            </w:r>
            <w:r w:rsidRPr="00825288">
              <w:rPr>
                <w:rFonts w:ascii="Aptos" w:hAnsi="Aptos"/>
                <w:sz w:val="22"/>
              </w:rPr>
              <w:t xml:space="preserve"> aftenvagterne for faglig sparring. Ældretilsynet observerer på fællesarealerne, at ledelsen har meget viden omkring borgerne, men også pårørende. Leder spørger bl.a. ind, med fornavn, til en borgers ægtefælle. Dette kan indikere, at ledelsen er kompetente og har kendskab til pårørende. Ældretilsynet vurderer derfor, at leverandørens ledelse har kompetencer i forhold til at sikre borgernær ledelse og en organisering, som understøtter dette.</w:t>
            </w:r>
            <w:r w:rsidRPr="00825288">
              <w:rPr>
                <w:rFonts w:ascii="Aptos" w:hAnsi="Aptos"/>
                <w:sz w:val="22"/>
              </w:rPr>
              <w:br/>
            </w:r>
            <w:r w:rsidRPr="00825288">
              <w:rPr>
                <w:rFonts w:ascii="Aptos" w:hAnsi="Aptos"/>
                <w:sz w:val="22"/>
              </w:rPr>
              <w:br/>
            </w:r>
            <w:r w:rsidRPr="00825288">
              <w:rPr>
                <w:rFonts w:ascii="Aptos" w:hAnsi="Aptos"/>
                <w:sz w:val="22"/>
              </w:rPr>
              <w:br/>
              <w:t>· Fem medarbejdere fortæller i interview, at der er tillid til ledelsen. En medarbejder fortæller videre, at der er frihed under ansvar, og at ledelsen udtrykker stor tillid til medarbejdernes faglighed. En anden medarbejder supplerer med, at udfordringer er noget, der klares i fællesskab, hvilket bidrager til et trygt og tillidsfuldt rum for medarbejderne. Medarbejderne svarer adspurgt til struktur, at der dagligt afholdes morgenmøder, hvor alle observationer læses op i fællesskab, herefter byder medarbejderne ind ift. hvem der skal varetage opgaven. To medarbejdere fortæller videre, at efterfølgende afholdes der et koordineringsmøde for social- og sundhedsassistenterne og sygeplejerskerne. Dette understøttes af ledelsen, der ligeledes fortæller, at alle medarbejderne har en stemme, og at alle medarbejderne har en rolle. Ældretilsynet observerer den sidste del af et koordineringsmøde, her er de sidste opgaver ved at blive fordelt mellem medarbejderne. Her spørger en medarbejder sin kollega, om vedkommende oplever at opgaverne, der er blevet tildelt den dag er til at nå, ift. resten af programmet. Dette kan indikere, at medarbejderne er opmærksomme på hinanden, og dermed skaber tryghed i medarbejdergruppen. Ældretilsynet vurderer derfor, at medarbejderne udtrykker tillid til samarbejdet med hinanden og ledelsen</w:t>
            </w:r>
          </w:p>
          <w:p w14:paraId="00B9CDBF" w14:textId="77777777" w:rsidR="00336A9E" w:rsidRPr="00764A3A" w:rsidRDefault="00336A9E" w:rsidP="00D65541">
            <w:pPr>
              <w:rPr>
                <w:rFonts w:ascii="Aptos" w:hAnsi="Aptos"/>
                <w:sz w:val="22"/>
              </w:rPr>
            </w:pPr>
          </w:p>
          <w:p w14:paraId="49C92649" w14:textId="77777777" w:rsidR="00336A9E" w:rsidRPr="00764A3A" w:rsidRDefault="00336A9E" w:rsidP="00D65541">
            <w:pPr>
              <w:rPr>
                <w:rFonts w:ascii="Aptos" w:hAnsi="Aptos"/>
                <w:sz w:val="22"/>
              </w:rPr>
            </w:pP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153EC458" w14:textId="77777777" w:rsidR="00537AE8" w:rsidRDefault="00537AE8" w:rsidP="00653405"/>
    <w:p w14:paraId="0BF9C4AD" w14:textId="77777777" w:rsidR="00537AE8" w:rsidRDefault="00537AE8" w:rsidP="00653405"/>
    <w:p w14:paraId="444D6852" w14:textId="77777777" w:rsidR="00653405" w:rsidRDefault="00653405" w:rsidP="00BA2E29">
      <w:pPr>
        <w:pStyle w:val="Overskrift3"/>
      </w:pPr>
      <w:r>
        <w:t>Tema 3 – Samspil med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 xml:space="preserve">Ældretilsynet vurderer, at plejeenheden har god kvalitet i forhold til temaet "Et tæt samspil med pårørende, lokale fællesskaber og civilsamfundet”. </w:t>
            </w:r>
            <w:r w:rsidRPr="00825288">
              <w:rPr>
                <w:rFonts w:ascii="Aptos" w:hAnsi="Aptos"/>
                <w:sz w:val="22"/>
              </w:rPr>
              <w:br/>
            </w:r>
            <w:r w:rsidRPr="00825288">
              <w:rPr>
                <w:rFonts w:ascii="Aptos" w:hAnsi="Aptos"/>
                <w:sz w:val="22"/>
              </w:rPr>
              <w:br/>
              <w:t>Alle markører i temaet er opfyldt.</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borgere fortæller i interview, at deres ønsker for pårørendes inddragelse blev aftalt ved opstart af hjælpen. Begge borgere fortæller videre, at der løbende er opfølgning med ønsket for inddragelse, både omkring pårørende, men også af aktiviteter. To pårørende fortæller i interview, at de inddrages, hvor det er relevant. En pårørende fortæller desuden, at der ved opstart var et introduktionsforløb, og at pårørende altid kan bede om et møde med leverandøren. Ældretilsynet observerer under morgens besøg, at medarbejderen aftaler med borgeren og pårørende, omkring dagens næste besøg passer med tidspunktet. Dette kan indikere, at medarbejderne inddrager borgerne og pårørende. Fem medarbejdere fortæller i interview, at pårørende inddrages via forløbsmodellen. Der foreligger klare aftaler for, hvornår pårørende skal inddrages, og hvordan borgeren ønsker inddragelse af pårørende. Medarbejderne fortæller videre, at der er samarbejde med lokal samfundet, f.eks. ældresagen og dansk røde kors. Medarbejderne fortæller dertil, at leder har stort kendskab til de aktiviteter, der sker i lokal samfundet, og det er leder der ofte får udbredt aktiviteterne. Dette understøttes i interview med ledelsen, der supplerer med at fortælle, at der er samarbejde med en aktivitetsmedarbejder, som står for at finde aktiviteter til borgerne. Ledelsen informerer ældretilsynet om, at de er ved at finde en ny medarbejder, der skal varetage social kompasset hos dem. Ældretilsynet vurderer derfor, at borgerne oplever, at pårørende, lokale fællesskab og civilsamfund inddrages i den enkeltes forløb, hvor det er relevant og ældretilsynet vurderer ligeledes, at pårørende oplever at blive inddraget, hvor det er relevant.</w:t>
            </w:r>
            <w:r w:rsidRPr="00825288">
              <w:rPr>
                <w:rFonts w:ascii="Aptos" w:hAnsi="Aptos"/>
                <w:sz w:val="22"/>
              </w:rPr>
              <w:br/>
            </w:r>
            <w:r w:rsidRPr="00825288">
              <w:rPr>
                <w:rFonts w:ascii="Aptos" w:hAnsi="Aptos"/>
                <w:sz w:val="22"/>
              </w:rPr>
              <w:br/>
              <w:t>· Fem medarbejdere fortæller i interview, at der samarbejdes med bl.a. dansk røde kors, generationernes hus  og fælleshuset Møllestien. Medarbejderne fortæller videre, at der f.eks. har været succes med at opstarte fredagscafe, hvor frivillige går ud og henter borgerne, samt følger dem hjem. Dette har bl.a. medført, at borgere med kognitive udfordringer, der tidligere ikke har turde deltage i aktiviteter, nu deltager. En medarbejder fortæller videre i interview, at der også er samarbejde med Fælleshuset Møllestien, hvor en borger deltager i svømning. Medarbejderne hjælper borgeren med at alt indenfor tøj og bad i forbindelse med svømmetræningen. Dette understøttes i interview med ledelsen, der også fortæller, at der er samarbejde med Genlyd, som har arrangeret et samarbejde med Musikkonservatoriet, der f.eks. tager ud og spiller musik for borgere i eget hjem. Ledelsen fortæller også, at der understøttes i, at medarbejderne kan hjælpe borgere i at deltage i aktiviteter, som borgerne ønsker, via klippekortsordningen, som er Aarhus Kommunes tilbud til ekstra hjælp, som borgerne selv vælger. F.eks. har der været planlagt, at en borger har fået hjælp til at bage julesmåkager, eller er blevet fulgt til en konfirmation. Ældretilsynet observerer på fællesarealet, at der hænger en synlig oversigt over klippekort ved borgere, og hvor mange der er tilbage. Dette kan indikere, at klippekortsordningen anvendes aktivt. Ældretilsynet vurderer derfor, at leverandøren har et samspil med lokale fællesskaber og civilsamfund ift. at understøtte borgerne i at deltage i meningsfulde fællesskaber og modvirke ensomhed</w:t>
            </w:r>
          </w:p>
          <w:p w14:paraId="1554E4A6" w14:textId="77777777" w:rsidR="00336A9E" w:rsidRPr="00764A3A" w:rsidRDefault="00336A9E" w:rsidP="00D65541">
            <w:pPr>
              <w:rPr>
                <w:rFonts w:ascii="Aptos" w:hAnsi="Aptos"/>
                <w:sz w:val="22"/>
              </w:rPr>
            </w:pPr>
          </w:p>
          <w:p w14:paraId="79E04C46" w14:textId="77777777" w:rsidR="00336A9E" w:rsidRPr="00764A3A" w:rsidRDefault="00336A9E" w:rsidP="00D65541">
            <w:pPr>
              <w:rPr>
                <w:rFonts w:ascii="Aptos" w:hAnsi="Aptos"/>
                <w:sz w:val="22"/>
              </w:rPr>
            </w:pPr>
          </w:p>
        </w:tc>
      </w:tr>
    </w:tbl>
    <w:p w14:paraId="5CD08A17" w14:textId="264FF4EF" w:rsidR="00653405" w:rsidRDefault="00653405">
      <w:r>
        <w:br w:type="page"/>
      </w:r>
    </w:p>
    <w:p w14:paraId="315E8854" w14:textId="77777777" w:rsidR="00C54736" w:rsidRDefault="00C54736" w:rsidP="0043343D">
      <w:pPr>
        <w:spacing w:line="240" w:lineRule="auto"/>
      </w:pPr>
    </w:p>
    <w:p w14:paraId="48CDC309" w14:textId="4B41AB89" w:rsidR="00E53D04" w:rsidRPr="0095410B" w:rsidRDefault="00E53D04" w:rsidP="0043343D">
      <w:pPr>
        <w:pStyle w:val="Overskrift1"/>
        <w:spacing w:before="0"/>
      </w:pPr>
      <w:r w:rsidRPr="0095410B">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Opfyldt</w:t>
            </w:r>
          </w:p>
        </w:tc>
        <w:tc>
          <w:tcPr>
            <w:tcW w:w="3686" w:type="dxa"/>
          </w:tcPr>
          <w:p w14:paraId="68D0BCED" w14:textId="3075CADE" w:rsidR="009934C1" w:rsidRPr="00764A3A" w:rsidRDefault="009934C1" w:rsidP="006724AE">
            <w:pPr>
              <w:rPr>
                <w:rFonts w:ascii="Aptos" w:hAnsi="Aptos"/>
                <w:sz w:val="22"/>
              </w:rPr>
            </w:pP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2F09DFC8" w14:textId="77777777" w:rsidR="00D96AB4" w:rsidRDefault="00D96AB4" w:rsidP="00D96AB4">
      <w:r>
        <w:br w:type="page"/>
      </w:r>
    </w:p>
    <w:p w14:paraId="1FC7D52E" w14:textId="5550040A" w:rsidR="00D96AB4" w:rsidRDefault="00D96AB4" w:rsidP="00C54736">
      <w:r>
        <w:rPr>
          <w:noProof/>
        </w:rPr>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2">
                      <a:extLst>
                        <a:ext uri="{96DAC541-7B7A-43D3-8B79-37D633B846F1}">
                          <asvg:svgBlip xmlns:asvg="http://schemas.microsoft.com/office/drawing/2016/SVG/main" r:embed="rId1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t>Opfyldt</w:t>
            </w:r>
          </w:p>
        </w:tc>
        <w:tc>
          <w:tcPr>
            <w:tcW w:w="3686" w:type="dxa"/>
          </w:tcPr>
          <w:p w14:paraId="3AF9D6E3" w14:textId="03FA2EBB" w:rsidR="00EE649C" w:rsidRPr="00764A3A" w:rsidRDefault="00EE649C" w:rsidP="00EE649C">
            <w:pPr>
              <w:rPr>
                <w:rFonts w:ascii="Aptos" w:hAnsi="Aptos"/>
                <w:sz w:val="22"/>
              </w:rPr>
            </w:pPr>
          </w:p>
        </w:tc>
      </w:tr>
    </w:tbl>
    <w:p w14:paraId="46C05BBA" w14:textId="77777777" w:rsidR="00C54736" w:rsidRDefault="00C54736" w:rsidP="00C54736"/>
    <w:p w14:paraId="218FE107" w14:textId="2D0F8079" w:rsidR="00D96AB4" w:rsidRDefault="00D96AB4" w:rsidP="00C54736">
      <w:r>
        <w:rPr>
          <w:noProof/>
        </w:rPr>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4">
                      <a:extLst>
                        <a:ext uri="{96DAC541-7B7A-43D3-8B79-37D633B846F1}">
                          <asvg:svgBlip xmlns:asvg="http://schemas.microsoft.com/office/drawing/2016/SVG/main" r:embed="rId15"/>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Plejeenheden/leverandøren har et samspil med lokale fællesskaber og civilsamfund i forhold til at understøtte borgerne i at deltage i 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6"/>
      <w:footerReference w:type="default" r:id="rId17"/>
      <w:footerReference w:type="first" r:id="rId18"/>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9441" w14:textId="77777777" w:rsidR="00206D54" w:rsidRDefault="00206D54" w:rsidP="006E0517">
      <w:pPr>
        <w:spacing w:after="0" w:line="240" w:lineRule="auto"/>
      </w:pPr>
      <w:r>
        <w:separator/>
      </w:r>
    </w:p>
  </w:endnote>
  <w:endnote w:type="continuationSeparator" w:id="0">
    <w:p w14:paraId="12EAAED9" w14:textId="77777777" w:rsidR="00206D54" w:rsidRDefault="00206D54"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EndPr/>
    <w:sdtContent>
      <w:sdt>
        <w:sdtPr>
          <w:id w:val="-1769616900"/>
          <w:docPartObj>
            <w:docPartGallery w:val="Page Numbers (Top of Page)"/>
            <w:docPartUnique/>
          </w:docPartObj>
        </w:sdtPr>
        <w:sdtEnd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16-01-2026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68A3" w14:textId="77777777" w:rsidR="00206D54" w:rsidRDefault="00206D54" w:rsidP="006E0517">
      <w:pPr>
        <w:spacing w:after="0" w:line="240" w:lineRule="auto"/>
      </w:pPr>
      <w:r>
        <w:separator/>
      </w:r>
    </w:p>
  </w:footnote>
  <w:footnote w:type="continuationSeparator" w:id="0">
    <w:p w14:paraId="59344090" w14:textId="77777777" w:rsidR="00206D54" w:rsidRDefault="00206D54"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E4D09"/>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06D54"/>
    <w:rsid w:val="002133B8"/>
    <w:rsid w:val="00232852"/>
    <w:rsid w:val="00244414"/>
    <w:rsid w:val="00251654"/>
    <w:rsid w:val="00252A8A"/>
    <w:rsid w:val="002555A6"/>
    <w:rsid w:val="00296EDA"/>
    <w:rsid w:val="002A2295"/>
    <w:rsid w:val="002C615F"/>
    <w:rsid w:val="002D3E25"/>
    <w:rsid w:val="002D3E41"/>
    <w:rsid w:val="002D4E67"/>
    <w:rsid w:val="002F13FD"/>
    <w:rsid w:val="0032362B"/>
    <w:rsid w:val="00332E82"/>
    <w:rsid w:val="0033578A"/>
    <w:rsid w:val="00336A9E"/>
    <w:rsid w:val="00371F14"/>
    <w:rsid w:val="003977BD"/>
    <w:rsid w:val="003B3C6E"/>
    <w:rsid w:val="003C5802"/>
    <w:rsid w:val="003C6C0D"/>
    <w:rsid w:val="003D483A"/>
    <w:rsid w:val="003E1B3F"/>
    <w:rsid w:val="00401302"/>
    <w:rsid w:val="0041688F"/>
    <w:rsid w:val="00426CDB"/>
    <w:rsid w:val="00432E19"/>
    <w:rsid w:val="0043343D"/>
    <w:rsid w:val="00447B5B"/>
    <w:rsid w:val="00456A6D"/>
    <w:rsid w:val="004839AA"/>
    <w:rsid w:val="004B0F4E"/>
    <w:rsid w:val="004D1A23"/>
    <w:rsid w:val="004D358B"/>
    <w:rsid w:val="004D5A28"/>
    <w:rsid w:val="00502338"/>
    <w:rsid w:val="00502C49"/>
    <w:rsid w:val="00503C42"/>
    <w:rsid w:val="00515563"/>
    <w:rsid w:val="00523E38"/>
    <w:rsid w:val="00537024"/>
    <w:rsid w:val="00537AE8"/>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A3A0F"/>
    <w:rsid w:val="006D0924"/>
    <w:rsid w:val="006E0517"/>
    <w:rsid w:val="006E2EC1"/>
    <w:rsid w:val="006E4F59"/>
    <w:rsid w:val="006E69E3"/>
    <w:rsid w:val="006E7082"/>
    <w:rsid w:val="006F3EA3"/>
    <w:rsid w:val="00700AC4"/>
    <w:rsid w:val="007127F8"/>
    <w:rsid w:val="00715B44"/>
    <w:rsid w:val="00716929"/>
    <w:rsid w:val="00716E09"/>
    <w:rsid w:val="00725E7D"/>
    <w:rsid w:val="0072613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20E4"/>
    <w:rsid w:val="00865E1C"/>
    <w:rsid w:val="00871030"/>
    <w:rsid w:val="00890FC3"/>
    <w:rsid w:val="008963A2"/>
    <w:rsid w:val="008C0340"/>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3E92"/>
    <w:rsid w:val="009E10EB"/>
    <w:rsid w:val="009E3EA0"/>
    <w:rsid w:val="009E3FD0"/>
    <w:rsid w:val="009E505F"/>
    <w:rsid w:val="00A112AB"/>
    <w:rsid w:val="00A42ABF"/>
    <w:rsid w:val="00A445E0"/>
    <w:rsid w:val="00A469CE"/>
    <w:rsid w:val="00A56CCF"/>
    <w:rsid w:val="00A60CC3"/>
    <w:rsid w:val="00A7372C"/>
    <w:rsid w:val="00A83B7E"/>
    <w:rsid w:val="00A9069C"/>
    <w:rsid w:val="00AA0E20"/>
    <w:rsid w:val="00AA591E"/>
    <w:rsid w:val="00AB26A2"/>
    <w:rsid w:val="00AC0D7B"/>
    <w:rsid w:val="00AC725A"/>
    <w:rsid w:val="00AE25F0"/>
    <w:rsid w:val="00B24AC6"/>
    <w:rsid w:val="00B24AD5"/>
    <w:rsid w:val="00B3211B"/>
    <w:rsid w:val="00B46562"/>
    <w:rsid w:val="00B75FFB"/>
    <w:rsid w:val="00B8347E"/>
    <w:rsid w:val="00B972BB"/>
    <w:rsid w:val="00BA2E29"/>
    <w:rsid w:val="00BB6042"/>
    <w:rsid w:val="00BB752C"/>
    <w:rsid w:val="00BD089B"/>
    <w:rsid w:val="00BD0F5D"/>
    <w:rsid w:val="00C02448"/>
    <w:rsid w:val="00C026C7"/>
    <w:rsid w:val="00C16147"/>
    <w:rsid w:val="00C21586"/>
    <w:rsid w:val="00C54736"/>
    <w:rsid w:val="00C61DD8"/>
    <w:rsid w:val="00C73E1C"/>
    <w:rsid w:val="00CA0195"/>
    <w:rsid w:val="00CC494C"/>
    <w:rsid w:val="00CC4AAC"/>
    <w:rsid w:val="00CD27C2"/>
    <w:rsid w:val="00CE7E88"/>
    <w:rsid w:val="00CF2C25"/>
    <w:rsid w:val="00CF4887"/>
    <w:rsid w:val="00CF6B42"/>
    <w:rsid w:val="00D3376B"/>
    <w:rsid w:val="00D37B3B"/>
    <w:rsid w:val="00D41AB9"/>
    <w:rsid w:val="00D61A6D"/>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F180D"/>
    <w:rsid w:val="000F4F59"/>
    <w:rsid w:val="00167638"/>
    <w:rsid w:val="00251654"/>
    <w:rsid w:val="002D4E67"/>
    <w:rsid w:val="003977BD"/>
    <w:rsid w:val="00432E19"/>
    <w:rsid w:val="00447B5B"/>
    <w:rsid w:val="00475844"/>
    <w:rsid w:val="004D5A28"/>
    <w:rsid w:val="00552114"/>
    <w:rsid w:val="00560BA3"/>
    <w:rsid w:val="005E4C74"/>
    <w:rsid w:val="00606894"/>
    <w:rsid w:val="006A3A0F"/>
    <w:rsid w:val="006E7082"/>
    <w:rsid w:val="00700896"/>
    <w:rsid w:val="00725E7D"/>
    <w:rsid w:val="00726132"/>
    <w:rsid w:val="00740F42"/>
    <w:rsid w:val="008152C8"/>
    <w:rsid w:val="00890FC3"/>
    <w:rsid w:val="008C0340"/>
    <w:rsid w:val="008E4971"/>
    <w:rsid w:val="00972492"/>
    <w:rsid w:val="00991630"/>
    <w:rsid w:val="00AA2CBC"/>
    <w:rsid w:val="00AB26A2"/>
    <w:rsid w:val="00AE25F0"/>
    <w:rsid w:val="00B24AC6"/>
    <w:rsid w:val="00B47CBF"/>
    <w:rsid w:val="00BB6042"/>
    <w:rsid w:val="00D37B3B"/>
    <w:rsid w:val="00EA6BA5"/>
    <w:rsid w:val="00EA6E3A"/>
    <w:rsid w:val="00EC3360"/>
    <w:rsid w:val="00EF4B0C"/>
    <w:rsid w:val="00F04F2D"/>
    <w:rsid w:val="00F14903"/>
    <w:rsid w:val="00F93F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3172</Words>
  <Characters>19351</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Inez Glesner (24505)</dc:creator>
  <cp:keywords/>
  <dc:description/>
  <cp:lastModifiedBy>Camilla Mandrup Fjeldmark</cp:lastModifiedBy>
  <cp:revision>192</cp:revision>
  <dcterms:created xsi:type="dcterms:W3CDTF">2025-08-06T10:36:00Z</dcterms:created>
  <dcterms:modified xsi:type="dcterms:W3CDTF">2026-02-02T15:09:00Z</dcterms:modified>
</cp:coreProperties>
</file>