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9"/>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Content>
                  <w:p w14:paraId="1F5E0992" w14:textId="4FEA3803" w:rsidR="006E0517" w:rsidRPr="00371F14" w:rsidRDefault="00133BA5" w:rsidP="00954DDD">
                    <w:pPr>
                      <w:jc w:val="center"/>
                      <w:rPr>
                        <w:rFonts w:ascii="Aptos" w:hAnsi="Aptos"/>
                        <w:sz w:val="40"/>
                        <w:szCs w:val="40"/>
                      </w:rPr>
                    </w:pPr>
                    <w:r w:rsidRPr="000406D3">
                      <w:rPr>
                        <w:rStyle w:val="Overskrift2Tegn"/>
                      </w:rPr>
                      <w:t>Hj.pl. Frederiksbjerg</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Frederiksbjerg</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Evald Krogs Gade 4B , 2</w:t>
            </w:r>
          </w:p>
          <w:p w14:paraId="404F28C3" w14:textId="77777777" w:rsidR="002133B8" w:rsidRPr="000406D3" w:rsidRDefault="002133B8" w:rsidP="002133B8">
            <w:pPr>
              <w:rPr>
                <w:rFonts w:ascii="Aptos" w:hAnsi="Aptos"/>
                <w:sz w:val="22"/>
              </w:rPr>
            </w:pPr>
            <w:r w:rsidRPr="000406D3">
              <w:rPr>
                <w:rFonts w:ascii="Aptos" w:hAnsi="Aptos"/>
                <w:sz w:val="22"/>
              </w:rPr>
              <w:t>8000 Aarhus C</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1028950752</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1144571000016007</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28-01-2026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Trine Elmgreen</w:t>
            </w:r>
          </w:p>
          <w:p w14:paraId="7F3CA0FD" w14:textId="77777777" w:rsidR="00005624" w:rsidRPr="000406D3" w:rsidRDefault="00005624" w:rsidP="00005624">
            <w:pPr>
              <w:rPr>
                <w:rFonts w:ascii="Aptos" w:hAnsi="Aptos"/>
                <w:sz w:val="22"/>
              </w:rPr>
            </w:pPr>
            <w:r w:rsidRPr="008C66C1">
              <w:rPr>
                <w:rFonts w:ascii="Aptos" w:hAnsi="Aptos"/>
                <w:sz w:val="22"/>
              </w:rPr>
              <w:t>Maria Foged</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social- og sundhedsassistent</w:t>
            </w:r>
            <w:r w:rsidR="00DE4003" w:rsidRPr="00DE4003">
              <w:rPr>
                <w:rFonts w:ascii="Aptos" w:hAnsi="Aptos"/>
                <w:sz w:val="22"/>
              </w:rPr>
              <w:br/>
              <w:t>• En social- og sundhedshjælper</w:t>
            </w:r>
            <w:r w:rsidR="00DE4003" w:rsidRPr="00DE4003">
              <w:rPr>
                <w:rFonts w:ascii="Aptos" w:hAnsi="Aptos"/>
                <w:sz w:val="22"/>
              </w:rPr>
              <w:br/>
              <w:t>• Anette Kalsmark, konstitueret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En social- og sundhedsassistent</w:t>
            </w:r>
            <w:r w:rsidRPr="00DE4003">
              <w:rPr>
                <w:rFonts w:ascii="Aptos" w:hAnsi="Aptos"/>
                <w:sz w:val="22"/>
              </w:rPr>
              <w:br/>
              <w:t>• Ressource koordinator</w:t>
            </w:r>
            <w:r w:rsidRPr="00DE4003">
              <w:rPr>
                <w:rFonts w:ascii="Aptos" w:hAnsi="Aptos"/>
                <w:sz w:val="22"/>
              </w:rPr>
              <w:br/>
              <w:t>• Anette Kalsmark, konstitueret leder</w:t>
            </w:r>
            <w:r w:rsidRPr="00DE4003">
              <w:rPr>
                <w:rFonts w:ascii="Aptos" w:hAnsi="Aptos"/>
                <w:sz w:val="22"/>
              </w:rPr>
              <w:br/>
              <w:t>• Distriktschef Kim Pinderup</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 xml:space="preserve">Interview af: </w:t>
            </w:r>
            <w:r w:rsidR="00DE4003" w:rsidRPr="00DE4003">
              <w:rPr>
                <w:rFonts w:ascii="Aptos" w:hAnsi="Aptos"/>
                <w:sz w:val="22"/>
              </w:rPr>
              <w:br/>
              <w:t>• To borgere</w:t>
            </w:r>
            <w:r w:rsidR="00DE4003" w:rsidRPr="00DE4003">
              <w:rPr>
                <w:rFonts w:ascii="Aptos" w:hAnsi="Aptos"/>
                <w:sz w:val="22"/>
              </w:rPr>
              <w:br/>
              <w:t>• Tre pårørende</w:t>
            </w:r>
            <w:r w:rsidR="00DE4003" w:rsidRPr="00DE4003">
              <w:rPr>
                <w:rFonts w:ascii="Aptos" w:hAnsi="Aptos"/>
                <w:sz w:val="22"/>
              </w:rPr>
              <w:br/>
              <w:t>• En social- og sundhedsassistent</w:t>
            </w:r>
            <w:r w:rsidR="00DE4003" w:rsidRPr="00DE4003">
              <w:rPr>
                <w:rFonts w:ascii="Aptos" w:hAnsi="Aptos"/>
                <w:sz w:val="22"/>
              </w:rPr>
              <w:br/>
              <w:t>• En social- og sundhedshjælper</w:t>
            </w:r>
            <w:r w:rsidR="00DE4003" w:rsidRPr="00DE4003">
              <w:rPr>
                <w:rFonts w:ascii="Aptos" w:hAnsi="Aptos"/>
                <w:sz w:val="22"/>
              </w:rPr>
              <w:br/>
              <w:t>• Anette Kalsmark, konstitueret leder</w:t>
            </w:r>
            <w:r w:rsidR="00DE4003" w:rsidRPr="00DE4003">
              <w:rPr>
                <w:rFonts w:ascii="Aptos" w:hAnsi="Aptos"/>
                <w:sz w:val="22"/>
              </w:rPr>
              <w:br/>
            </w:r>
            <w:r w:rsidR="00DE4003" w:rsidRPr="00DE4003">
              <w:rPr>
                <w:rFonts w:ascii="Aptos" w:hAnsi="Aptos"/>
                <w:sz w:val="22"/>
              </w:rPr>
              <w:br/>
              <w:t xml:space="preserve">Observation af: </w:t>
            </w:r>
            <w:r w:rsidR="00DE4003" w:rsidRPr="00DE4003">
              <w:rPr>
                <w:rFonts w:ascii="Aptos" w:hAnsi="Aptos"/>
                <w:sz w:val="22"/>
              </w:rPr>
              <w:br/>
              <w:t>• Fælles morgenmøde ved indmøde meddeltagelse af alle medarbejderne i dagvagt.</w:t>
            </w:r>
            <w:r w:rsidR="00DE4003" w:rsidRPr="00DE4003">
              <w:rPr>
                <w:rFonts w:ascii="Aptos" w:hAnsi="Aptos"/>
                <w:sz w:val="22"/>
              </w:rPr>
              <w:br/>
              <w:t>• Fælles arealer ved rundvisning.</w:t>
            </w:r>
            <w:r w:rsidR="00DE4003" w:rsidRPr="00DE4003">
              <w:rPr>
                <w:rFonts w:ascii="Aptos" w:hAnsi="Aptos"/>
                <w:sz w:val="22"/>
              </w:rPr>
              <w:br/>
              <w:t>• Helhedspleje hos en borger udført af en social- og sundhedshjælper.</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6EDAAE78" w14:textId="1B128EC2" w:rsidR="00F15CE7" w:rsidRPr="000406D3" w:rsidRDefault="00061AC4" w:rsidP="00D65541">
            <w:pPr>
              <w:rPr>
                <w:rFonts w:ascii="Aptos" w:hAnsi="Aptos"/>
                <w:sz w:val="22"/>
              </w:rPr>
            </w:pPr>
            <w:r w:rsidRPr="000406D3">
              <w:rPr>
                <w:rFonts w:ascii="Aptos" w:hAnsi="Aptos"/>
                <w:sz w:val="22"/>
              </w:rPr>
              <w:t>SAG-25/2701</w:t>
            </w:r>
          </w:p>
          <w:p w14:paraId="2AC3B09F" w14:textId="77777777" w:rsidR="00737B64" w:rsidRPr="000406D3" w:rsidRDefault="00737B64" w:rsidP="00D65541">
            <w:pPr>
              <w:rPr>
                <w:rFonts w:ascii="Aptos" w:hAnsi="Aptos"/>
                <w:sz w:val="22"/>
              </w:rPr>
            </w:pPr>
          </w:p>
        </w:tc>
      </w:tr>
    </w:tbl>
    <w:p w14:paraId="7EB28163" w14:textId="397EE691" w:rsidR="00F15CE7" w:rsidRDefault="00F15CE7" w:rsidP="00F15CE7"/>
    <w:p w14:paraId="7D577153" w14:textId="7FD9DD8A" w:rsidR="00163819" w:rsidRDefault="00163819" w:rsidP="00163819"/>
    <w:p w14:paraId="33AC8549" w14:textId="7EAE3C97" w:rsidR="000070D7" w:rsidRPr="00163819" w:rsidRDefault="000070D7" w:rsidP="00163819">
      <w:pPr>
        <w:pStyle w:val="Overskrift1"/>
      </w:pPr>
      <w:r w:rsidRPr="002A2295">
        <w:lastRenderedPageBreak/>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Magistraten for Sundhed og Omsorg, Aarhus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Leverandøren er inddelt i to teams, Syd og Nord.</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Samlet 223 borgere.</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Anette Kalsmark, Konstitueret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Samlet antal medarbejdere, inkl. leder: 60 medarbejdere</w:t>
            </w:r>
            <w:r w:rsidRPr="00064525">
              <w:rPr>
                <w:rFonts w:ascii="Aptos" w:hAnsi="Aptos"/>
                <w:sz w:val="22"/>
              </w:rPr>
              <w:br/>
              <w:t>Medhjælpere: 17</w:t>
            </w:r>
            <w:r w:rsidRPr="00064525">
              <w:rPr>
                <w:rFonts w:ascii="Aptos" w:hAnsi="Aptos"/>
                <w:sz w:val="22"/>
              </w:rPr>
              <w:br/>
              <w:t>Social og sundhedsassistenter: Otte</w:t>
            </w:r>
            <w:r w:rsidRPr="00064525">
              <w:rPr>
                <w:rFonts w:ascii="Aptos" w:hAnsi="Aptos"/>
                <w:sz w:val="22"/>
              </w:rPr>
              <w:br/>
              <w:t>Social- og sundhedshjælpere: 22</w:t>
            </w:r>
            <w:r w:rsidRPr="00064525">
              <w:rPr>
                <w:rFonts w:ascii="Aptos" w:hAnsi="Aptos"/>
                <w:sz w:val="22"/>
              </w:rPr>
              <w:br/>
              <w:t>Sygeplejersker: fem</w:t>
            </w:r>
            <w:r w:rsidRPr="00064525">
              <w:rPr>
                <w:rFonts w:ascii="Aptos" w:hAnsi="Aptos"/>
                <w:sz w:val="22"/>
              </w:rPr>
              <w:br/>
              <w:t>Ergoterapeuter: En</w:t>
            </w:r>
            <w:r w:rsidRPr="00064525">
              <w:rPr>
                <w:rFonts w:ascii="Aptos" w:hAnsi="Aptos"/>
                <w:sz w:val="22"/>
              </w:rPr>
              <w:br/>
              <w:t>Fysioterapeuter: En</w:t>
            </w:r>
            <w:r w:rsidRPr="00064525">
              <w:rPr>
                <w:rFonts w:ascii="Aptos" w:hAnsi="Aptos"/>
                <w:sz w:val="22"/>
              </w:rPr>
              <w:br/>
              <w:t>Ressource koordinator: To, en social- og sundhedshjælper og en sygeplejerske</w:t>
            </w:r>
            <w:r w:rsidRPr="00064525">
              <w:rPr>
                <w:rFonts w:ascii="Aptos" w:hAnsi="Aptos"/>
                <w:sz w:val="22"/>
              </w:rPr>
              <w:br/>
              <w:t>Kompetence udviklende terapeut: En</w:t>
            </w:r>
            <w:r w:rsidRPr="00064525">
              <w:rPr>
                <w:rFonts w:ascii="Aptos" w:hAnsi="Aptos"/>
                <w:sz w:val="22"/>
              </w:rPr>
              <w:br/>
              <w:t>Kompetence udviklende sygeplejerske: En</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375EE18D" w14:textId="77777777" w:rsidR="000070D7" w:rsidRPr="00764A3A" w:rsidRDefault="000070D7" w:rsidP="006C0F2E">
            <w:pPr>
              <w:rPr>
                <w:rFonts w:ascii="Aptos" w:hAnsi="Aptos"/>
                <w:sz w:val="22"/>
              </w:rPr>
            </w:pPr>
          </w:p>
          <w:p w14:paraId="2C64DD1F" w14:textId="77777777" w:rsidR="000070D7" w:rsidRDefault="00064525" w:rsidP="006C0F2E">
            <w:pPr>
              <w:rPr>
                <w:rFonts w:ascii="Aptos" w:hAnsi="Aptos"/>
                <w:sz w:val="22"/>
              </w:rPr>
            </w:pPr>
            <w:r w:rsidRPr="00064525">
              <w:rPr>
                <w:rFonts w:ascii="Aptos" w:hAnsi="Aptos"/>
                <w:sz w:val="22"/>
              </w:rPr>
              <w:t>Laila Hessellund, Vanlig leder</w:t>
            </w:r>
            <w:r w:rsidRPr="00064525">
              <w:rPr>
                <w:rFonts w:ascii="Aptos" w:hAnsi="Aptos"/>
                <w:sz w:val="22"/>
              </w:rPr>
              <w:br/>
              <w:t>Ny viceleder starter 01.02.2026</w:t>
            </w:r>
          </w:p>
          <w:p w14:paraId="498BCFCD" w14:textId="386B3E05" w:rsidR="00064525" w:rsidRPr="00764A3A" w:rsidRDefault="00064525" w:rsidP="006C0F2E">
            <w:pPr>
              <w:rPr>
                <w:rFonts w:ascii="Aptos" w:hAnsi="Aptos"/>
                <w:sz w:val="22"/>
              </w:rPr>
            </w:pPr>
          </w:p>
        </w:tc>
      </w:tr>
    </w:tbl>
    <w:p w14:paraId="263E2785" w14:textId="77777777" w:rsidR="00F15CE7" w:rsidRDefault="00F15CE7" w:rsidP="00F15CE7"/>
    <w:p w14:paraId="32F41572" w14:textId="77777777" w:rsidR="00AA591E" w:rsidRDefault="00AA591E">
      <w:pPr>
        <w:rPr>
          <w:rFonts w:asciiTheme="majorHAnsi" w:eastAsiaTheme="majorEastAsia" w:hAnsiTheme="majorHAnsi" w:cstheme="majorBidi"/>
          <w:color w:val="000000" w:themeColor="accent1" w:themeShade="BF"/>
          <w:sz w:val="32"/>
          <w:szCs w:val="32"/>
        </w:rPr>
      </w:pPr>
      <w:r>
        <w:br w:type="page"/>
      </w:r>
    </w:p>
    <w:p w14:paraId="04C688C6" w14:textId="77777777" w:rsidR="00163819" w:rsidRDefault="00163819" w:rsidP="00163819"/>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Frederiksbjerg</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Leverandøren fremstår samlet set med god kvalitet.</w:t>
            </w:r>
            <w:r w:rsidRPr="001C647D">
              <w:rPr>
                <w:rFonts w:ascii="Aptos" w:hAnsi="Aptos"/>
                <w:sz w:val="22"/>
              </w:rPr>
              <w:br/>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r>
            <w:r w:rsidRPr="001C647D">
              <w:rPr>
                <w:rFonts w:ascii="Aptos" w:hAnsi="Aptos"/>
                <w:sz w:val="22"/>
              </w:rPr>
              <w:br/>
              <w:t>Samlet vurderer ældretilsynet, at borgerne oplever at have selvbestemmelse og løbende indflydelse på tilrettelæggelsen og udførelsen af helhedsplejen, ud fra borgernes aktuelle behov og ressourcer. Borgerne har tillid til leverandørens medarbejdere. De pårørende oplever at blive inddraget hvor det er relevant og i overensstemmelse med borgerens ønsker. Leverandøren arbejder systematisk med at sikre, at der er kontinuitet i helhedsplejen, samt færrest mulige forskellige medarbejdere i hjemmet. Leverandørens medarbejderne har tillid hinanden og til ledelsen. Ledelsen sikrer, at medarbejderne samlet set har de nødvendige kompetencer til at varetage helhedspleje. Leverandøren arbejder systematisk med inddragelse af de pårørende, civilsamfund og lokale fællesskaber i forhold til at understøtte borgerne i at deltage i meningsfulde fællesskaber og modvirke ensomhed.</w:t>
            </w:r>
            <w:r w:rsidRPr="001C647D">
              <w:rPr>
                <w:rFonts w:ascii="Aptos" w:hAnsi="Aptos"/>
                <w:sz w:val="22"/>
              </w:rPr>
              <w:br/>
            </w:r>
            <w:r w:rsidRPr="001C647D">
              <w:rPr>
                <w:rFonts w:ascii="Aptos" w:hAnsi="Aptos"/>
                <w:sz w:val="22"/>
              </w:rPr>
              <w:br/>
              <w:t>Følgende temaer er belyst:</w:t>
            </w:r>
            <w:r w:rsidRPr="001C647D">
              <w:rPr>
                <w:rFonts w:ascii="Aptos" w:hAnsi="Aptos"/>
                <w:sz w:val="22"/>
              </w:rPr>
              <w:br/>
              <w:t xml:space="preserve">Tema 1 - Den ældres selvbestemmelse </w:t>
            </w:r>
            <w:r w:rsidRPr="001C647D">
              <w:rPr>
                <w:rFonts w:ascii="Aptos" w:hAnsi="Aptos"/>
                <w:sz w:val="22"/>
              </w:rPr>
              <w:br/>
              <w:t xml:space="preserve">Tema 2 - Tillid til medarbejdere og den borgernære ledelse </w:t>
            </w:r>
            <w:r w:rsidRPr="001C647D">
              <w:rPr>
                <w:rFonts w:ascii="Aptos" w:hAnsi="Aptos"/>
                <w:sz w:val="22"/>
              </w:rPr>
              <w:br/>
              <w:t>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CE75795" w14:textId="6414EB32" w:rsidR="0012124F" w:rsidRDefault="001C647D" w:rsidP="002053B5">
            <w:pPr>
              <w:spacing w:before="240"/>
              <w:rPr>
                <w:rFonts w:ascii="Aptos" w:hAnsi="Aptos"/>
                <w:sz w:val="22"/>
              </w:rPr>
            </w:pPr>
            <w:r w:rsidRPr="001C647D">
              <w:rPr>
                <w:rFonts w:ascii="Aptos" w:hAnsi="Aptos"/>
                <w:sz w:val="22"/>
              </w:rPr>
              <w:t>Ingen.</w:t>
            </w: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40C555B1" w14:textId="77777777" w:rsidR="00653405" w:rsidRDefault="00653405">
      <w:r>
        <w:br w:type="page"/>
      </w:r>
    </w:p>
    <w:p w14:paraId="00B39C4B" w14:textId="77777777" w:rsidR="00163819" w:rsidRDefault="00163819" w:rsidP="00163819"/>
    <w:p w14:paraId="47E62184" w14:textId="49A60250" w:rsidR="00653405" w:rsidRPr="00BA2E29" w:rsidRDefault="00653405" w:rsidP="00BA2E29">
      <w:pPr>
        <w:pStyle w:val="Overskrift2"/>
        <w:rPr>
          <w:b/>
          <w:bCs/>
        </w:rPr>
      </w:pPr>
      <w:r w:rsidRPr="00BA2E29">
        <w:rPr>
          <w:b/>
          <w:bCs/>
        </w:rPr>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FF86B06" w14:textId="118FC4F1" w:rsidR="00336A9E" w:rsidRPr="00764A3A" w:rsidRDefault="00825288" w:rsidP="002053B5">
            <w:pPr>
              <w:spacing w:before="240"/>
              <w:rPr>
                <w:rFonts w:ascii="Aptos" w:hAnsi="Aptos"/>
                <w:sz w:val="22"/>
              </w:rPr>
            </w:pPr>
            <w:r w:rsidRPr="00825288">
              <w:rPr>
                <w:rFonts w:ascii="Aptos" w:hAnsi="Aptos"/>
                <w:sz w:val="22"/>
              </w:rPr>
              <w:t xml:space="preserve">Ældretilsynet vurderer, at leverandøren har god kvalitet i forhold til temaet - Den ældres selvbestemmelse.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interviews, at de selv er med til at bestemme, hvordan og hvornår hjælpen gives. En borger fortæller, at vedkommende fx havde brug for mere hjælp til aftenstid. Vedkommende fortæller, at medarbejderne imødekommer dette ønske, og at der allerede fra samme dag kom en og hjalp. Ældretilsynet observerer desuden i forbindelse med morgenpleje hos en borger, hvordan medarbejderen indgår i en dialog med borgeren omkring, hvad der skal ske, og om borgeren er klar. Ældretilsynet observerer, at medarbejderen imødekommer borgerens ønsker.  Dette kan indikere, at medarbejderen har fokus på at inddrage borgerens ønsker. To medarbejdere understøtter dette i interview, hvor de fortæller, at de løbende har en dialog med borgerne ude i hjemmene, hvor de lytter til borgernes ønsker og behov, og tilrettelægger hjælpen herefter. Medarbejderne fortæller yderligere, at de ved borgerkonferencer, ligeledes drøfter borgernes ønsker og behov. Borgerkonferencer afholdes ved opstart af forløb, og herefter en fast hyppighed på seks måneder til en gang årligt, alt efter borgerens funktionsniveau. Ældretilsynet vurderer derfor, at borgerne oplever at have selvbestemmelse og løbende indflydelse på tilrettelæggelsen og udførelsen af helhedsplejen, ud fra borgernes aktuelle behov og ressourcer.</w:t>
            </w:r>
            <w:r w:rsidRPr="00825288">
              <w:rPr>
                <w:rFonts w:ascii="Aptos" w:hAnsi="Aptos"/>
                <w:sz w:val="22"/>
              </w:rPr>
              <w:br/>
            </w:r>
            <w:r w:rsidRPr="00825288">
              <w:rPr>
                <w:rFonts w:ascii="Aptos" w:hAnsi="Aptos"/>
                <w:sz w:val="22"/>
              </w:rPr>
              <w:br/>
              <w:t>• To borgere fortæller i interviews, at de kender de medarbejdere som hjælper dem. Begge borgere fortæller, at de har en kontaktperson. En borger fortæller videre, at hjælpen til morgen som oftest er samme medarbejder flere dage i træk. Ved ældretilsynets observation, fremgår det af dialog mellem medarbejder og borger, at medarbejderen kommer igen dagen efter. Dette kan indikere, at medarbejderen kommer fast ved borgeren. Hertil fortæller en anden borger, at vedkommende oplever at der godt kan komme forskellige for at hjælpe, men at medarbejderne ved, hvad de skal hjælpe med. Dertil fortæller to pårørende i interviews, at de oplever, at leverandøren bestræber sig på, at det er de samme medarbejdere, som hjælper borgeren. Ældretilsynet observerer ved ankomst, at medarbejderne sidder i fællesrummet og drøfter dagens planer. Ledelsen fortæller, at de sidder i teams hvor de gennemgår dagens besøg hos borgerne. Dette kan indikere, at medarbejderne arbejder på at sikre kontinuitet i helhedsplejen. Dette understøttes af medarbejderne i interview, der tilføjer, at de ved denne fordeling har fokus på, at hjælpen som udgangspunkt gives af kontaktpersonen og de øvrige faste medarbejdere, som har det største kendskab til borgerne og de rette kompetencer. Dette understøttes i interview med ledelsen. Ældretilsynet vurderer derfor, at leverandøren arbejder systematisk med at sikre, at der er kontinuitet i helhedsplejen, samt færrest mulige forskellige medarbejdere i hjemmet.</w:t>
            </w: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lastRenderedPageBreak/>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 Tillid til medarbejdere og den borgernære ledelse.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ved ankomst, at leverandøren samles til et fælles morgenmøde, hvor medarbejderne er i dialog om borgernes planer og dagens opgaver. Flere medarbejdere byder ind og koordinerer dagens besøg. Dette kan indikere, at medarbejderne er trygge ved at dele deres viden omkring borgerne. Dette understøttes af to medarbejdere i interview, der fortæller, at de er en medarbejdergruppe, som er præget af stor tillid, både til hinanden og ledelsen. En medarbejder fortæller, at ledelsen altid følger op på borgerforløb, som de drøfter. Som eksempel nævner medarbejderen et samarbejde med pårørende, som var præget af udfordringer, hvor ledelsen efterfølgende kontaktede de pårørende og afholdte et konstruktivt møde. Dette understøttes af ledelsen, der yderligere fortæller, at vedkommende har en "Åbendør politik" og at medarbejderne kommer ind og drøfter sager. Ældretilsynet vurderer derfor, at leverandørens medarbejdere har tillid til hinanden og ledelsen.</w:t>
            </w:r>
            <w:r w:rsidRPr="00825288">
              <w:rPr>
                <w:rFonts w:ascii="Aptos" w:hAnsi="Aptos"/>
                <w:sz w:val="22"/>
              </w:rPr>
              <w:br/>
            </w:r>
            <w:r w:rsidRPr="00825288">
              <w:rPr>
                <w:rFonts w:ascii="Aptos" w:hAnsi="Aptos"/>
                <w:sz w:val="22"/>
              </w:rPr>
              <w:br/>
              <w:t>• To medarbejdere fortæller i interview, at de har en fast mødestruktur, for at sikre faglig sparring. Dette omfatter tværfaglig konference to gange i ugen, hvor borgerne drøftes ud fra ICF-modellen, som har fokus på både fysiske, psykiske og sociale aspekter af borgernes funktionsniveau. Denne model anvendes ligeledes i borgernes målsætning ved de faste borgerkonferencer. Desuden fortæller medarbejderne, at de afholder dagligt morgenmøde samt ugentligt teammøde. Et ugentligt teammøde afholdes, hvor der tre gange i måneden er planlagt undervisning, der er tilrettelagt ud fra et årshjul, det sidste er personalemøde. Undervisningen understøttes af den kompetenceudviklende terapeut og-/eller sygeplejerske, som også er ansvarlige for medarbejdernes daglige oplæring og kompetenceskemaer i henhold til Aarhus Kommunes retningslinjer. En medarbejder fortæller videre, at vedkommende skal på efteruddannelse i helhedspleje, og en anden tilføjer, at vedkommende selv har fundet et relevant kursus om tilgang til borgere med særlige behov. Dette understøttes af ledelsen i interview, som bekræfter at der gives opbakning til relevant kompetenceudvikling. Ældretilsynet vurderer derfor, at ledelsen sikrer, at medarbejderne samlet set har de nødvendige kompetencer i forhold til at varetage helhedsplejen.</w:t>
            </w: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7777777" w:rsidR="00653405" w:rsidRDefault="00653405" w:rsidP="00BA2E29">
      <w:pPr>
        <w:pStyle w:val="Overskrift3"/>
      </w:pPr>
      <w:r>
        <w:t>Tema 3 – Samspil med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3A3382EE"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 Et tæt samspil med pårørende, lokale fællesskaber og civilsamfund.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To borgere fortæller i interview, at de oplever, at deres pårørende inddrages, hvor det er relevant. Tre pårørende fortæller i interviews, at de bliver inddraget, hvor det er relevant. Fx fortæller de pårørende, at de har haft en forventningsafstemning med medarbejderne ved indflytningssamtale, og at der ellers løbende er en dialog med medarbejderne omkring borgeren. Fx har en pårørende flere gange har ringet til kontaktpersonen, hvor den pårørende oplever, at der altid følges op på </w:t>
            </w:r>
            <w:r w:rsidRPr="00825288">
              <w:rPr>
                <w:rFonts w:ascii="Aptos" w:hAnsi="Aptos"/>
                <w:sz w:val="22"/>
              </w:rPr>
              <w:lastRenderedPageBreak/>
              <w:t>henvendelsen. Dette understøttes af to medarbejdere i interview, der yderligere fortæller, at de ved opstartssamtale har fokus på, at afstemme forventninger ift. det fremadrettede samarbejde. Der afholdes ligeledes en borgerkonference hvert halve år, med deltagelse af borger og pårørende, i overensstemmelse med borgerens ønsker. Her deltager kontaktpersonen og den forløbsansvarlige, hvis opgave er at være tovholder på borgerens indsatser og mål, for at sikre sammenhæng i borgernes forløb og løbende dialog om trivsel, behov og eventuelle justeringer, i hjælpen der gives. Ældretilsynet vurderer derfor, at pårørende inddrages hvor der er relevant og i overensstemmelse med borgernes ønsker.</w:t>
            </w:r>
            <w:r w:rsidRPr="00825288">
              <w:rPr>
                <w:rFonts w:ascii="Aptos" w:hAnsi="Aptos"/>
                <w:sz w:val="22"/>
              </w:rPr>
              <w:br/>
            </w:r>
            <w:r w:rsidRPr="00825288">
              <w:rPr>
                <w:rFonts w:ascii="Aptos" w:hAnsi="Aptos"/>
                <w:sz w:val="22"/>
              </w:rPr>
              <w:br/>
              <w:t>• To medarbejdere fortæller i interview, at de ud over faste borgerkonferencer hvert halve eller årligt, afholder vurderingssamtaler efter behov. Disse samtaler gennemføres med deltagelse af borger, pårørende, kontaktperson og forløbsansvarlig, og tager afsæt i borgerens funktionsevne og behov fx i forhold til deltagelse i aktiviteter og socialt samvær. Dertil fortæller medarbejderne, at de arbejder løbende med, at understøtte borgernes sociale trivsel i meningsfulde fællesskaber. Fx nævner en medarbejder, at to borgere, efter leverandørens støtte nu har fået en gå- og motionsven. Medarbejderne giver et andet eksempel, hvor flere borgere, understøttes i at deltage i sociale aktiviteter udenfor eget hjem, herunder fællesspisning på lokalcentre og en restaurant tilknyttet private seniorboliger. Desuden fortæller medarbejderne, at de på tværfaglige møder deler deres viden om aktiviteter der foregår i nærområdet. Dette understøttes yderligere af både medarbejderne og ledelsen der tilføjer, at Aarhus Kommune har brobyggere, der også kan hjælpe med, at finde relevante aktiviteter for borgerne. Ældretilsynet vurderer derfor, at leverandøren arbejder systematisk med at inddrage civilsamfund og lokale fællesskaber i forhold til at understøtte borgerne i at deltage i meningsfulde fællesskaber og modvirke ensomhed.</w:t>
            </w:r>
            <w:r w:rsidRPr="00825288">
              <w:rPr>
                <w:rFonts w:ascii="Aptos" w:hAnsi="Aptos"/>
                <w:sz w:val="22"/>
              </w:rPr>
              <w:br/>
            </w:r>
            <w:r w:rsidRPr="00825288">
              <w:rPr>
                <w:rFonts w:ascii="Aptos" w:hAnsi="Aptos"/>
                <w:sz w:val="22"/>
              </w:rPr>
              <w:br/>
              <w:t>Ældretilsynet vurderer, at leverandøren med fordel kan have fokus på</w:t>
            </w:r>
            <w:r w:rsidR="002053B5">
              <w:rPr>
                <w:rFonts w:ascii="Aptos" w:hAnsi="Aptos"/>
                <w:sz w:val="22"/>
              </w:rPr>
              <w:t>,</w:t>
            </w:r>
            <w:r w:rsidRPr="00825288">
              <w:rPr>
                <w:rFonts w:ascii="Aptos" w:hAnsi="Aptos"/>
                <w:sz w:val="22"/>
              </w:rPr>
              <w:t xml:space="preserve"> at</w:t>
            </w:r>
            <w:r w:rsidR="002053B5">
              <w:rPr>
                <w:rFonts w:ascii="Aptos" w:hAnsi="Aptos"/>
                <w:sz w:val="22"/>
              </w:rPr>
              <w:t xml:space="preserve"> a</w:t>
            </w:r>
            <w:r w:rsidRPr="00825288">
              <w:rPr>
                <w:rFonts w:ascii="Aptos" w:hAnsi="Aptos"/>
                <w:sz w:val="22"/>
              </w:rPr>
              <w:t>rbejde videre med dette tema og ældretilsynet henviser leverandøren til at søge viden om emnet på Videncenter for Ældrepleje. Dette fokuspunkt er drøftet med ledelsen ved den mundtlige tilbagemelding.</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5CD08A17" w14:textId="264FF4EF" w:rsidR="00653405" w:rsidRDefault="00653405">
      <w:r>
        <w:lastRenderedPageBreak/>
        <w:br w:type="page"/>
      </w:r>
    </w:p>
    <w:p w14:paraId="315E8854" w14:textId="77777777" w:rsidR="00C54736" w:rsidRDefault="00C54736" w:rsidP="0043343D">
      <w:pPr>
        <w:spacing w:line="240" w:lineRule="auto"/>
      </w:pPr>
    </w:p>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lastRenderedPageBreak/>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2F09DFC8" w14:textId="77777777" w:rsidR="00D96AB4" w:rsidRDefault="00D96AB4" w:rsidP="00D96AB4">
      <w:r>
        <w:br w:type="page"/>
      </w:r>
    </w:p>
    <w:p w14:paraId="79B7D6E9" w14:textId="77777777" w:rsidR="00C54736" w:rsidRDefault="00C54736" w:rsidP="00C54736"/>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lastRenderedPageBreak/>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225D956B" w14:textId="77777777" w:rsidR="00D96AB4" w:rsidRDefault="00D96AB4" w:rsidP="00D96AB4">
      <w:r>
        <w:br w:type="page"/>
      </w:r>
    </w:p>
    <w:p w14:paraId="46C05BBA" w14:textId="77777777" w:rsidR="00C54736" w:rsidRDefault="00C54736" w:rsidP="00C54736"/>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4">
                      <a:extLs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 xml:space="preserve">Plejeenheden/leverandøren har et samspil med lokale fællesskaber og civilsamfund i forhold til at </w:t>
            </w:r>
            <w:r w:rsidRPr="00764A3A">
              <w:rPr>
                <w:rFonts w:ascii="Aptos" w:hAnsi="Aptos"/>
                <w:sz w:val="22"/>
              </w:rPr>
              <w:lastRenderedPageBreak/>
              <w:t>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lastRenderedPageBreak/>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6"/>
      <w:footerReference w:type="default" r:id="rId17"/>
      <w:footerReference w:type="first" r:id="rId18"/>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D7C9" w14:textId="77777777" w:rsidR="00F06BA8" w:rsidRDefault="00F06BA8" w:rsidP="006E0517">
      <w:pPr>
        <w:spacing w:after="0" w:line="240" w:lineRule="auto"/>
      </w:pPr>
      <w:r>
        <w:separator/>
      </w:r>
    </w:p>
  </w:endnote>
  <w:endnote w:type="continuationSeparator" w:id="0">
    <w:p w14:paraId="7869C00E" w14:textId="77777777" w:rsidR="00F06BA8" w:rsidRDefault="00F06BA8"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Content>
      <w:sdt>
        <w:sdtPr>
          <w:id w:val="-1769616900"/>
          <w:docPartObj>
            <w:docPartGallery w:val="Page Numbers (Top of Page)"/>
            <w:docPartUnique/>
          </w:docPartObj>
        </w:sdt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30-01-2026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146A" w14:textId="77777777" w:rsidR="00F06BA8" w:rsidRDefault="00F06BA8" w:rsidP="006E0517">
      <w:pPr>
        <w:spacing w:after="0" w:line="240" w:lineRule="auto"/>
      </w:pPr>
      <w:r>
        <w:separator/>
      </w:r>
    </w:p>
  </w:footnote>
  <w:footnote w:type="continuationSeparator" w:id="0">
    <w:p w14:paraId="2AD20E37" w14:textId="77777777" w:rsidR="00F06BA8" w:rsidRDefault="00F06BA8"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053B5"/>
    <w:rsid w:val="002133B8"/>
    <w:rsid w:val="00232852"/>
    <w:rsid w:val="00244414"/>
    <w:rsid w:val="00251654"/>
    <w:rsid w:val="00252A8A"/>
    <w:rsid w:val="002555A6"/>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3DB2"/>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C0340"/>
    <w:rsid w:val="008E4971"/>
    <w:rsid w:val="008E6084"/>
    <w:rsid w:val="00900BF0"/>
    <w:rsid w:val="00904B49"/>
    <w:rsid w:val="00910E3E"/>
    <w:rsid w:val="0091703D"/>
    <w:rsid w:val="0095410B"/>
    <w:rsid w:val="0095469D"/>
    <w:rsid w:val="00954DDD"/>
    <w:rsid w:val="00957BD8"/>
    <w:rsid w:val="0096296F"/>
    <w:rsid w:val="0096504F"/>
    <w:rsid w:val="00991630"/>
    <w:rsid w:val="009934C1"/>
    <w:rsid w:val="009978DD"/>
    <w:rsid w:val="009A0A90"/>
    <w:rsid w:val="009A3E92"/>
    <w:rsid w:val="009E10EB"/>
    <w:rsid w:val="009E3EA0"/>
    <w:rsid w:val="009E3FD0"/>
    <w:rsid w:val="009E505F"/>
    <w:rsid w:val="00A112AB"/>
    <w:rsid w:val="00A42ABF"/>
    <w:rsid w:val="00A445E0"/>
    <w:rsid w:val="00A469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BE2BC4"/>
    <w:rsid w:val="00C02448"/>
    <w:rsid w:val="00C026C7"/>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06BA8"/>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D4E67"/>
    <w:rsid w:val="003977BD"/>
    <w:rsid w:val="00432E19"/>
    <w:rsid w:val="00447B5B"/>
    <w:rsid w:val="00475844"/>
    <w:rsid w:val="004D5A28"/>
    <w:rsid w:val="00552114"/>
    <w:rsid w:val="00560BA3"/>
    <w:rsid w:val="00606894"/>
    <w:rsid w:val="006A3A0F"/>
    <w:rsid w:val="006E7082"/>
    <w:rsid w:val="00700896"/>
    <w:rsid w:val="00726132"/>
    <w:rsid w:val="00740F42"/>
    <w:rsid w:val="008152C8"/>
    <w:rsid w:val="00890FC3"/>
    <w:rsid w:val="008C0340"/>
    <w:rsid w:val="008E4971"/>
    <w:rsid w:val="00957BD8"/>
    <w:rsid w:val="00991630"/>
    <w:rsid w:val="00A06776"/>
    <w:rsid w:val="00AA2CBC"/>
    <w:rsid w:val="00AB26A2"/>
    <w:rsid w:val="00AE25F0"/>
    <w:rsid w:val="00B24AC6"/>
    <w:rsid w:val="00B47CBF"/>
    <w:rsid w:val="00BE2BC4"/>
    <w:rsid w:val="00D37B3B"/>
    <w:rsid w:val="00EA6BA5"/>
    <w:rsid w:val="00EA6E3A"/>
    <w:rsid w:val="00EC3360"/>
    <w:rsid w:val="00EF4B0C"/>
    <w:rsid w:val="00F04F2D"/>
    <w:rsid w:val="00F14903"/>
    <w:rsid w:val="00F93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2382</Words>
  <Characters>15036</Characters>
  <Application>Microsoft Office Word</Application>
  <DocSecurity>0</DocSecurity>
  <Lines>501</Lines>
  <Paragraphs>162</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Inez Glesner (24505)</dc:creator>
  <cp:keywords/>
  <dc:description/>
  <cp:lastModifiedBy>Ellen Marie Gram Carlsen</cp:lastModifiedBy>
  <cp:revision>2</cp:revision>
  <dcterms:created xsi:type="dcterms:W3CDTF">2026-02-12T08:37:00Z</dcterms:created>
  <dcterms:modified xsi:type="dcterms:W3CDTF">2026-02-12T08:37:00Z</dcterms:modified>
</cp:coreProperties>
</file>