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End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2"/>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EndPr/>
                <w:sdtContent>
                  <w:p w14:paraId="1F5E0992" w14:textId="4FEA3803" w:rsidR="006E0517" w:rsidRPr="00371F14" w:rsidRDefault="00133BA5" w:rsidP="00954DDD">
                    <w:pPr>
                      <w:jc w:val="center"/>
                      <w:rPr>
                        <w:rFonts w:ascii="Aptos" w:hAnsi="Aptos"/>
                        <w:sz w:val="40"/>
                        <w:szCs w:val="40"/>
                      </w:rPr>
                    </w:pPr>
                    <w:r w:rsidRPr="000406D3">
                      <w:rPr>
                        <w:rStyle w:val="Overskrift2Tegn"/>
                      </w:rPr>
                      <w:t>Hj.pl. Vestervang</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33D4620" w14:textId="11ADA72C" w:rsidR="00EB703D" w:rsidRDefault="006E0517">
          <w:r>
            <w:br w:type="page"/>
          </w:r>
        </w:p>
      </w:sdtContent>
    </w:sdt>
    <w:p w14:paraId="6188EBBD" w14:textId="677EF1AB" w:rsidR="006E0517" w:rsidRPr="002A2295" w:rsidRDefault="00F15CE7" w:rsidP="00DD7398">
      <w:pPr>
        <w:pStyle w:val="Overskrift1"/>
      </w:pPr>
      <w:r w:rsidRPr="002A2295">
        <w:lastRenderedPageBreak/>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Vestervang</w:t>
            </w:r>
          </w:p>
          <w:p w14:paraId="0E3FCAAE" w14:textId="77777777" w:rsidR="002133B8" w:rsidRPr="000406D3" w:rsidRDefault="002133B8" w:rsidP="002133B8">
            <w:pPr>
              <w:pStyle w:val="Modtageradresse"/>
              <w:rPr>
                <w:rFonts w:ascii="Aptos" w:hAnsi="Aptos"/>
                <w:sz w:val="22"/>
                <w:szCs w:val="22"/>
              </w:rPr>
            </w:pPr>
            <w:r w:rsidRPr="000406D3">
              <w:rPr>
                <w:rFonts w:ascii="Aptos" w:hAnsi="Aptos"/>
                <w:sz w:val="22"/>
                <w:szCs w:val="22"/>
              </w:rPr>
              <w:t>Vestervang 16</w:t>
            </w:r>
          </w:p>
          <w:p w14:paraId="404F28C3" w14:textId="77777777" w:rsidR="002133B8" w:rsidRPr="000406D3" w:rsidRDefault="002133B8" w:rsidP="002133B8">
            <w:pPr>
              <w:rPr>
                <w:rFonts w:ascii="Aptos" w:hAnsi="Aptos"/>
                <w:sz w:val="22"/>
              </w:rPr>
            </w:pPr>
            <w:r w:rsidRPr="000406D3">
              <w:rPr>
                <w:rFonts w:ascii="Aptos" w:hAnsi="Aptos"/>
                <w:sz w:val="22"/>
              </w:rPr>
              <w:t>8000 Aarhus C</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1003366859</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1027401000016002</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04-05-2026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Louise Pagh</w:t>
            </w:r>
          </w:p>
          <w:p w14:paraId="7F3CA0FD" w14:textId="77777777" w:rsidR="00005624" w:rsidRPr="000406D3" w:rsidRDefault="00005624" w:rsidP="00005624">
            <w:pPr>
              <w:rPr>
                <w:rFonts w:ascii="Aptos" w:hAnsi="Aptos"/>
                <w:sz w:val="22"/>
              </w:rPr>
            </w:pPr>
            <w:r w:rsidRPr="008C66C1">
              <w:rPr>
                <w:rFonts w:ascii="Aptos" w:hAnsi="Aptos"/>
                <w:sz w:val="22"/>
              </w:rPr>
              <w:t>Maria Foged</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 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To social- og sundhedshjælpere</w:t>
            </w:r>
            <w:r w:rsidR="00DE4003" w:rsidRPr="00DE4003">
              <w:rPr>
                <w:rFonts w:ascii="Aptos" w:hAnsi="Aptos"/>
                <w:sz w:val="22"/>
              </w:rPr>
              <w:br/>
              <w:t>• En fysioterapeut</w:t>
            </w:r>
            <w:r w:rsidR="00DE4003" w:rsidRPr="00DE4003">
              <w:rPr>
                <w:rFonts w:ascii="Aptos" w:hAnsi="Aptos"/>
                <w:sz w:val="22"/>
              </w:rPr>
              <w:br/>
              <w:t>• En sygeplejerske</w:t>
            </w:r>
            <w:r w:rsidR="00DE4003" w:rsidRPr="00DE4003">
              <w:rPr>
                <w:rFonts w:ascii="Aptos" w:hAnsi="Aptos"/>
                <w:sz w:val="22"/>
              </w:rPr>
              <w:br/>
              <w:t xml:space="preserve">• Amalie Boesdal, viceleder </w:t>
            </w:r>
            <w:r w:rsidR="00DE4003" w:rsidRPr="00DE4003">
              <w:rPr>
                <w:rFonts w:ascii="Aptos" w:hAnsi="Aptos"/>
                <w:sz w:val="22"/>
              </w:rPr>
              <w:br/>
              <w:t>• Lotte Lave, leder</w:t>
            </w:r>
            <w:r w:rsidR="00DE4003" w:rsidRPr="00DE4003">
              <w:rPr>
                <w:rFonts w:ascii="Aptos" w:hAnsi="Aptos"/>
                <w:sz w:val="22"/>
              </w:rPr>
              <w:br/>
              <w:t>• En kvalitetsudviklende medarbejder fra Århus kommune</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xml:space="preserve">• En kompetenceudviklende sygeplejerske </w:t>
            </w:r>
            <w:r w:rsidRPr="00DE4003">
              <w:rPr>
                <w:rFonts w:ascii="Aptos" w:hAnsi="Aptos"/>
                <w:sz w:val="22"/>
              </w:rPr>
              <w:br/>
              <w:t xml:space="preserve">• Amalie Boesdal, viceleder </w:t>
            </w:r>
            <w:r w:rsidRPr="00DE4003">
              <w:rPr>
                <w:rFonts w:ascii="Aptos" w:hAnsi="Aptos"/>
                <w:sz w:val="22"/>
              </w:rPr>
              <w:br/>
              <w:t>• Lotte Lave, leder</w:t>
            </w:r>
            <w:r w:rsidRPr="00DE4003">
              <w:rPr>
                <w:rFonts w:ascii="Aptos" w:hAnsi="Aptos"/>
                <w:sz w:val="22"/>
              </w:rPr>
              <w:br/>
              <w:t>• En kvalitetsudviklende medarbejder fra Århus kommune</w:t>
            </w:r>
            <w:r w:rsidRPr="00DE4003">
              <w:rPr>
                <w:rFonts w:ascii="Aptos" w:hAnsi="Aptos"/>
                <w:sz w:val="22"/>
              </w:rPr>
              <w:br/>
              <w:t>• Kim Pinderup, distriktstchef Midt</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403E970D" w14:textId="16FED81A" w:rsidR="00F15CE7" w:rsidRPr="000406D3"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Gruppeinterview af:</w:t>
            </w:r>
            <w:r w:rsidR="00DE4003" w:rsidRPr="00DE4003">
              <w:rPr>
                <w:rFonts w:ascii="Aptos" w:hAnsi="Aptos"/>
                <w:sz w:val="22"/>
              </w:rPr>
              <w:br/>
              <w:t xml:space="preserve">• To social- og sundhedshjælpere og en fysioterapeut. </w:t>
            </w:r>
            <w:r w:rsidR="00DE4003" w:rsidRPr="00DE4003">
              <w:rPr>
                <w:rFonts w:ascii="Aptos" w:hAnsi="Aptos"/>
                <w:sz w:val="22"/>
              </w:rPr>
              <w:br/>
              <w:t>• Amalie Boesdal, viceleder og Lotte Lave, leder</w:t>
            </w:r>
            <w:r w:rsidR="00DE4003" w:rsidRPr="00DE4003">
              <w:rPr>
                <w:rFonts w:ascii="Aptos" w:hAnsi="Aptos"/>
                <w:sz w:val="22"/>
              </w:rPr>
              <w:br/>
            </w:r>
            <w:r w:rsidR="00DE4003" w:rsidRPr="00DE4003">
              <w:rPr>
                <w:rFonts w:ascii="Aptos" w:hAnsi="Aptos"/>
                <w:sz w:val="22"/>
              </w:rPr>
              <w:br/>
              <w:t>Enkeltinterviews af:</w:t>
            </w:r>
            <w:r w:rsidR="00DE4003" w:rsidRPr="00DE4003">
              <w:rPr>
                <w:rFonts w:ascii="Aptos" w:hAnsi="Aptos"/>
                <w:sz w:val="22"/>
              </w:rPr>
              <w:br/>
              <w:t>• To borgere</w:t>
            </w:r>
            <w:r w:rsidR="00DE4003" w:rsidRPr="00DE4003">
              <w:rPr>
                <w:rFonts w:ascii="Aptos" w:hAnsi="Aptos"/>
                <w:sz w:val="22"/>
              </w:rPr>
              <w:br/>
              <w:t xml:space="preserve">• Tre pårørende </w:t>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xml:space="preserve">• Helhedspleje hos en borger udført af en sygeplejerske. </w:t>
            </w:r>
            <w:r w:rsidR="00DE4003" w:rsidRPr="00DE4003">
              <w:rPr>
                <w:rFonts w:ascii="Aptos" w:hAnsi="Aptos"/>
                <w:sz w:val="22"/>
              </w:rPr>
              <w:br/>
              <w:t>• Observation af Folkehusets kantine i forbindelse med middagsmåltidet.</w:t>
            </w:r>
            <w:r w:rsidR="00DE4003" w:rsidRPr="00DE4003">
              <w:rPr>
                <w:rFonts w:ascii="Aptos" w:hAnsi="Aptos"/>
                <w:sz w:val="22"/>
              </w:rPr>
              <w:br/>
              <w:t>• Triageringsmøde i dagvagt.</w:t>
            </w:r>
            <w:r w:rsidR="00DE4003" w:rsidRPr="00DE4003">
              <w:rPr>
                <w:rFonts w:ascii="Aptos" w:hAnsi="Aptos"/>
                <w:sz w:val="22"/>
              </w:rPr>
              <w:br/>
              <w:t>• Tilrettelæggelse af helhedsplejen ved vagtstart i aftenvagt.</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t>Sagsnr.:</w:t>
            </w:r>
          </w:p>
          <w:p w14:paraId="2AC3B09F" w14:textId="7C9E01C5" w:rsidR="00737B64" w:rsidRPr="000406D3" w:rsidRDefault="00061AC4" w:rsidP="00D65541">
            <w:pPr>
              <w:rPr>
                <w:rFonts w:ascii="Aptos" w:hAnsi="Aptos"/>
                <w:sz w:val="22"/>
              </w:rPr>
            </w:pPr>
            <w:r w:rsidRPr="000406D3">
              <w:rPr>
                <w:rFonts w:ascii="Aptos" w:hAnsi="Aptos"/>
                <w:sz w:val="22"/>
              </w:rPr>
              <w:t>SAG-25/266</w:t>
            </w:r>
          </w:p>
        </w:tc>
      </w:tr>
    </w:tbl>
    <w:p w14:paraId="7D577153" w14:textId="054666D7" w:rsidR="00163819" w:rsidRDefault="00163819" w:rsidP="00163819"/>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Leverandøren er en kommunal hjemmeplejeenhed beliggende i Århus kommune.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 xml:space="preserve">Leverandøren består af to teams i dagvagt, som er slået sammen til et team i aftenvagt: </w:t>
            </w:r>
            <w:r w:rsidRPr="00B24AD5">
              <w:rPr>
                <w:rFonts w:ascii="Aptos" w:hAnsi="Aptos"/>
                <w:sz w:val="22"/>
              </w:rPr>
              <w:br/>
            </w:r>
            <w:r w:rsidRPr="00B24AD5">
              <w:rPr>
                <w:rFonts w:ascii="Aptos" w:hAnsi="Aptos"/>
                <w:sz w:val="22"/>
              </w:rPr>
              <w:br/>
              <w:t>• Team 1</w:t>
            </w:r>
            <w:r w:rsidRPr="00B24AD5">
              <w:rPr>
                <w:rFonts w:ascii="Aptos" w:hAnsi="Aptos"/>
                <w:sz w:val="22"/>
              </w:rPr>
              <w:br/>
              <w:t>• Team 2</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Antal borgere: 341</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 xml:space="preserve">• Amalie Boesdal, viceleder </w:t>
            </w:r>
            <w:r w:rsidRPr="00064525">
              <w:rPr>
                <w:rFonts w:ascii="Aptos" w:hAnsi="Aptos"/>
                <w:sz w:val="22"/>
              </w:rPr>
              <w:br/>
              <w:t>• Lotte Lave,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2DD9830B" w14:textId="77777777" w:rsidR="000070D7" w:rsidRDefault="00064525" w:rsidP="006C0F2E">
            <w:pPr>
              <w:rPr>
                <w:rFonts w:ascii="Aptos" w:hAnsi="Aptos"/>
                <w:sz w:val="22"/>
              </w:rPr>
            </w:pPr>
            <w:r w:rsidRPr="00064525">
              <w:rPr>
                <w:rFonts w:ascii="Aptos" w:hAnsi="Aptos"/>
                <w:sz w:val="22"/>
              </w:rPr>
              <w:t>I alt: 80</w:t>
            </w:r>
            <w:r w:rsidRPr="00064525">
              <w:rPr>
                <w:rFonts w:ascii="Aptos" w:hAnsi="Aptos"/>
                <w:sz w:val="22"/>
              </w:rPr>
              <w:br/>
            </w:r>
            <w:r w:rsidRPr="00064525">
              <w:rPr>
                <w:rFonts w:ascii="Aptos" w:hAnsi="Aptos"/>
                <w:sz w:val="22"/>
              </w:rPr>
              <w:br/>
              <w:t>• 28 social- og sundhedshjælpere</w:t>
            </w:r>
            <w:r w:rsidRPr="00064525">
              <w:rPr>
                <w:rFonts w:ascii="Aptos" w:hAnsi="Aptos"/>
                <w:sz w:val="22"/>
              </w:rPr>
              <w:br/>
              <w:t>• 26 faste afløsere ansat på varierende timetal</w:t>
            </w:r>
            <w:r w:rsidRPr="00064525">
              <w:rPr>
                <w:rFonts w:ascii="Aptos" w:hAnsi="Aptos"/>
                <w:sz w:val="22"/>
              </w:rPr>
              <w:br/>
              <w:t>• Tre rengøringsmedarbejdere</w:t>
            </w:r>
            <w:r w:rsidRPr="00064525">
              <w:rPr>
                <w:rFonts w:ascii="Aptos" w:hAnsi="Aptos"/>
                <w:sz w:val="22"/>
              </w:rPr>
              <w:br/>
              <w:t>• Ti social- og sundhedsassistenter</w:t>
            </w:r>
            <w:r w:rsidRPr="00064525">
              <w:rPr>
                <w:rFonts w:ascii="Aptos" w:hAnsi="Aptos"/>
                <w:sz w:val="22"/>
              </w:rPr>
              <w:br/>
              <w:t>• Fem sygeplejersker, hvoraf en har funktion som kompetenceudvikler</w:t>
            </w:r>
            <w:r w:rsidRPr="00064525">
              <w:rPr>
                <w:rFonts w:ascii="Aptos" w:hAnsi="Aptos"/>
                <w:sz w:val="22"/>
              </w:rPr>
              <w:br/>
              <w:t>• To ergoterapeuter, hvoraf en har funktion som kompetenceudvikler</w:t>
            </w:r>
            <w:r w:rsidRPr="00064525">
              <w:rPr>
                <w:rFonts w:ascii="Aptos" w:hAnsi="Aptos"/>
                <w:sz w:val="22"/>
              </w:rPr>
              <w:br/>
              <w:t>• To fysioterapeuter</w:t>
            </w:r>
            <w:r w:rsidRPr="00064525">
              <w:rPr>
                <w:rFonts w:ascii="Aptos" w:hAnsi="Aptos"/>
                <w:sz w:val="22"/>
              </w:rPr>
              <w:br/>
              <w:t>• To ressourcekoordinatorer</w:t>
            </w:r>
            <w:r w:rsidRPr="00064525">
              <w:rPr>
                <w:rFonts w:ascii="Aptos" w:hAnsi="Aptos"/>
                <w:sz w:val="22"/>
              </w:rPr>
              <w:br/>
              <w:t>• To oplæringsvejledere</w:t>
            </w:r>
          </w:p>
          <w:p w14:paraId="4FE69E4F" w14:textId="27C217E7" w:rsidR="00064525" w:rsidRPr="00764A3A" w:rsidRDefault="00064525" w:rsidP="006C0F2E">
            <w:pPr>
              <w:rPr>
                <w:rFonts w:ascii="Aptos" w:hAnsi="Aptos"/>
                <w:sz w:val="22"/>
              </w:rPr>
            </w:pPr>
          </w:p>
        </w:tc>
      </w:tr>
      <w:tr w:rsidR="000070D7" w:rsidRPr="00764A3A" w14:paraId="13AFCDEE" w14:textId="77777777" w:rsidTr="006C0F2E">
        <w:tc>
          <w:tcPr>
            <w:tcW w:w="9628" w:type="dxa"/>
          </w:tcPr>
          <w:p w14:paraId="2C64DD1F" w14:textId="78E3F6CE" w:rsidR="000070D7" w:rsidRPr="007066B3" w:rsidRDefault="000070D7" w:rsidP="007066B3">
            <w:pPr>
              <w:spacing w:before="240"/>
              <w:rPr>
                <w:rFonts w:ascii="Aptos" w:hAnsi="Aptos"/>
                <w:b/>
                <w:bCs/>
                <w:sz w:val="22"/>
              </w:rPr>
            </w:pPr>
            <w:r w:rsidRPr="00764A3A">
              <w:rPr>
                <w:rFonts w:ascii="Aptos" w:hAnsi="Aptos"/>
                <w:b/>
                <w:bCs/>
                <w:sz w:val="22"/>
              </w:rPr>
              <w:t>Øvrige relevante oplysninger:</w:t>
            </w:r>
          </w:p>
          <w:p w14:paraId="498BCFCD" w14:textId="386B3E05" w:rsidR="00064525" w:rsidRPr="00764A3A" w:rsidRDefault="00064525" w:rsidP="006C0F2E">
            <w:pPr>
              <w:rPr>
                <w:rFonts w:ascii="Aptos" w:hAnsi="Aptos"/>
                <w:sz w:val="22"/>
              </w:rPr>
            </w:pPr>
          </w:p>
        </w:tc>
      </w:tr>
    </w:tbl>
    <w:p w14:paraId="04C688C6" w14:textId="3F1435FC" w:rsidR="00163819" w:rsidRPr="007066B3" w:rsidRDefault="00163819" w:rsidP="00163819">
      <w:pPr>
        <w:rPr>
          <w:rFonts w:asciiTheme="majorHAnsi" w:eastAsiaTheme="majorEastAsia" w:hAnsiTheme="majorHAnsi" w:cstheme="majorBidi"/>
          <w:color w:val="000000" w:themeColor="accent1" w:themeShade="BF"/>
          <w:sz w:val="32"/>
          <w:szCs w:val="32"/>
        </w:rPr>
      </w:pPr>
    </w:p>
    <w:p w14:paraId="43829951" w14:textId="039F0C4A" w:rsidR="00F15CE7" w:rsidRPr="002A2295" w:rsidRDefault="00F15CE7" w:rsidP="00163819">
      <w:pPr>
        <w:pStyle w:val="Overskrift1"/>
      </w:pPr>
      <w:r w:rsidRPr="002A2295">
        <w:lastRenderedPageBreak/>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Vestervang</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Leverandøren fremstår samlet set med god kvalitet. </w:t>
            </w:r>
            <w:r w:rsidRPr="001C647D">
              <w:rPr>
                <w:rFonts w:ascii="Aptos" w:hAnsi="Aptos"/>
                <w:sz w:val="22"/>
              </w:rPr>
              <w:br/>
            </w:r>
            <w:r w:rsidRPr="001C647D">
              <w:rPr>
                <w:rFonts w:ascii="Aptos" w:hAnsi="Aptos"/>
                <w:sz w:val="22"/>
              </w:rPr>
              <w:br/>
              <w:t xml:space="preserve">Ældretilsynet vurderer, at der ingen væsentlige udfordringer er med kvaliteten i helhedsplejen.  </w:t>
            </w:r>
            <w:r w:rsidRPr="001C647D">
              <w:rPr>
                <w:rFonts w:ascii="Aptos" w:hAnsi="Aptos"/>
                <w:sz w:val="22"/>
              </w:rPr>
              <w:br/>
            </w:r>
            <w:r w:rsidRPr="001C647D">
              <w:rPr>
                <w:rFonts w:ascii="Aptos" w:hAnsi="Aptos"/>
                <w:sz w:val="22"/>
              </w:rPr>
              <w:br/>
              <w:t>Den samlede vurdering tager afsæt i følgende:</w:t>
            </w:r>
            <w:r w:rsidRPr="001C647D">
              <w:rPr>
                <w:rFonts w:ascii="Aptos" w:hAnsi="Aptos"/>
                <w:sz w:val="22"/>
              </w:rPr>
              <w:br/>
            </w:r>
            <w:r w:rsidRPr="001C647D">
              <w:rPr>
                <w:rFonts w:ascii="Aptos" w:hAnsi="Aptos"/>
                <w:sz w:val="22"/>
              </w:rPr>
              <w:br/>
              <w:t xml:space="preserve">• Ældretilsynet vurderer under temaet, "Den ældres selvbestemmelse", at Borgerne oplever at have selvbestemmelse og løbende indflydelse på tilrettelæggelse og udførelse af hjælpen ud fra borgerens aktuelle behov og ressourcer. Medarbejderne er løbende i dialog med borgerne om ønsker og behov, og tilpasser helhedsplejen. </w:t>
            </w:r>
            <w:r w:rsidRPr="001C647D">
              <w:rPr>
                <w:rFonts w:ascii="Aptos" w:hAnsi="Aptos"/>
                <w:sz w:val="22"/>
              </w:rPr>
              <w:br/>
            </w:r>
            <w:r w:rsidRPr="001C647D">
              <w:rPr>
                <w:rFonts w:ascii="Aptos" w:hAnsi="Aptos"/>
                <w:sz w:val="22"/>
              </w:rPr>
              <w:br/>
              <w:t>• Ældretilsynet vurderer under temaet, "Tillid til medarbejdere og den borgernære ledelse", at leverandøren ledelse sikrer, at medarbejderne samlet set har de nødvendige kompetencer i forhold til at varetage helhedsplejen, som blandt andet understøttes af følgeskab med leverandørens kompetenceudviklende medarbejdere. Derudover understøtter leverandørens organisering en tværfaglig og helhedsorienteret udførelse af hjælpen, hvor der er skabt rammer for at medarbejderne kan dele viden og sparre med hinanden på tværs af fagligheder.</w:t>
            </w:r>
            <w:r w:rsidRPr="001C647D">
              <w:rPr>
                <w:rFonts w:ascii="Aptos" w:hAnsi="Aptos"/>
                <w:sz w:val="22"/>
              </w:rPr>
              <w:br/>
            </w:r>
            <w:r w:rsidRPr="001C647D">
              <w:rPr>
                <w:rFonts w:ascii="Aptos" w:hAnsi="Aptos"/>
                <w:sz w:val="22"/>
              </w:rPr>
              <w:br/>
              <w:t>• Ældretilsynet vurderer under temaet, "Et tæt samspil med pårørende, lokale fællesskaber og civilsamfund", at pårørende oplever at blive inddraget, hvor det er relevant. Derudover arbejder leverandøren systematisk med inddragelse af pårørende, lokale fællesskab og civilsamfund, i det omfang borgeren ønsker det. Borgerne udtrykker glæde herved i forhold til at have mulighed for, at fastholde eksisterende bekendtskaber og udvikle nye.</w:t>
            </w:r>
            <w:r w:rsidRPr="001C647D">
              <w:rPr>
                <w:rFonts w:ascii="Aptos" w:hAnsi="Aptos"/>
                <w:sz w:val="22"/>
              </w:rPr>
              <w:br/>
            </w:r>
            <w:r w:rsidRPr="001C647D">
              <w:rPr>
                <w:rFonts w:ascii="Aptos" w:hAnsi="Aptos"/>
                <w:sz w:val="22"/>
              </w:rPr>
              <w:br/>
              <w:t>Ældretilsynet vurderer desuden, at leverandøren med fordel kan have fokus på følgende:</w:t>
            </w:r>
            <w:r w:rsidRPr="001C647D">
              <w:rPr>
                <w:rFonts w:ascii="Aptos" w:hAnsi="Aptos"/>
                <w:sz w:val="22"/>
              </w:rPr>
              <w:br/>
            </w:r>
            <w:r w:rsidRPr="001C647D">
              <w:rPr>
                <w:rFonts w:ascii="Aptos" w:hAnsi="Aptos"/>
                <w:sz w:val="22"/>
              </w:rPr>
              <w:br/>
              <w:t xml:space="preserve">• At arbejde systematisk med at sikre færrest mulige forskellige medarbejdere i hjemmet. Herunder at leverandøren arbejder videre med den igangværende proces, hvor konkrete initiativer er iværksat for at understøtte kontinuiteten hos den enkelte borger. </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 xml:space="preserve">Hele tema 1 - Den ældres selvbestemmelse </w:t>
            </w:r>
            <w:r w:rsidRPr="001C647D">
              <w:rPr>
                <w:rFonts w:ascii="Aptos" w:hAnsi="Aptos"/>
                <w:sz w:val="22"/>
              </w:rPr>
              <w:br/>
              <w:t xml:space="preserve">Hele tema 2 - Tillid til medarbejdere og den borgernære ledelse </w:t>
            </w:r>
            <w:r w:rsidRPr="001C647D">
              <w:rPr>
                <w:rFonts w:ascii="Aptos" w:hAnsi="Aptos"/>
                <w:sz w:val="22"/>
              </w:rPr>
              <w:br/>
              <w:t>Hele 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387E149C" w14:textId="77777777" w:rsidR="0012124F" w:rsidRDefault="001C647D" w:rsidP="007066B3">
            <w:pPr>
              <w:spacing w:before="240"/>
              <w:rPr>
                <w:rFonts w:ascii="Aptos" w:hAnsi="Aptos"/>
                <w:sz w:val="22"/>
              </w:rPr>
            </w:pPr>
            <w:r w:rsidRPr="001C647D">
              <w:rPr>
                <w:rFonts w:ascii="Aptos" w:hAnsi="Aptos"/>
                <w:sz w:val="22"/>
              </w:rPr>
              <w:t>Ingen.</w:t>
            </w:r>
          </w:p>
          <w:p w14:paraId="710286DE" w14:textId="0567CBE2" w:rsidR="007066B3" w:rsidRPr="00764A3A" w:rsidRDefault="007066B3" w:rsidP="007066B3">
            <w:pPr>
              <w:spacing w:before="240"/>
              <w:rPr>
                <w:rFonts w:ascii="Aptos" w:hAnsi="Aptos"/>
                <w:sz w:val="22"/>
              </w:rPr>
            </w:pPr>
          </w:p>
        </w:tc>
      </w:tr>
    </w:tbl>
    <w:p w14:paraId="4AC6DF8A" w14:textId="37F8042F" w:rsidR="00653405" w:rsidRDefault="00653405" w:rsidP="00F15CE7"/>
    <w:p w14:paraId="00B39C4B" w14:textId="57E98999" w:rsidR="00163819" w:rsidRDefault="00653405" w:rsidP="00163819">
      <w:r>
        <w:br w:type="page"/>
      </w:r>
    </w:p>
    <w:p w14:paraId="47E62184" w14:textId="49A60250" w:rsidR="00653405" w:rsidRPr="00BA2E29" w:rsidRDefault="00653405" w:rsidP="00BA2E29">
      <w:pPr>
        <w:pStyle w:val="Overskrift2"/>
        <w:rPr>
          <w:b/>
          <w:bCs/>
        </w:rPr>
      </w:pPr>
      <w:r w:rsidRPr="00BA2E29">
        <w:rPr>
          <w:b/>
          <w:bCs/>
        </w:rPr>
        <w:lastRenderedPageBreak/>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FF86B06" w14:textId="3550A61F" w:rsidR="00336A9E" w:rsidRPr="00764A3A" w:rsidRDefault="00825288" w:rsidP="007066B3">
            <w:pPr>
              <w:spacing w:before="240"/>
              <w:rPr>
                <w:rFonts w:ascii="Aptos" w:hAnsi="Aptos"/>
                <w:sz w:val="22"/>
              </w:rPr>
            </w:pPr>
            <w:r w:rsidRPr="00825288">
              <w:rPr>
                <w:rFonts w:ascii="Aptos" w:hAnsi="Aptos"/>
                <w:sz w:val="22"/>
              </w:rPr>
              <w:t xml:space="preserve">Ældretilsynet vurderer, at leverandøren har god kvalitet i forhold til temaet "Den ældres selvbestemmelse". Næsten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borgere fortæller i interviews, at de oplever at have indflydelse på den hjælp, de modtager. En borger fortæller herom, at der ved opstart hos leverandøren blev holdt et møde, hvor medarbejderne sammen med borgeren tog udgangspunkt i borgerens ønsker og behov og aftalte, hvilken hjælp der var behov for. Borgeren fortæller desuden, at vedkommende løbende kan give besked til medarbejderne, hvis der er behov for mere eller mindre hjælp, f.eks. i forbindelse med bad. En anden borger fortæller, at medarbejderne løbende spørger ind til behovet for hjælp, og at hjælpen justeres herefter. Borgeren uddyber, at en medarbejder f.eks. tilbød hjælp til hårvask, da medarbejderen blev opmærksom på, at borgeren havde planer om at vaske sit hår. Dette understøttes af ældretilsynets observationer. Under observation af helhedspleje ses det, at medarbejderen efter den planlagte hjælp spørger borgeren, om der er andet, vedkommende kan hjælpe med. Borgeren svarer, at medarbejderen gerne må tage skraldespanden ud. Dette kan indikere, at borgeren har indflydelse på den hjælp, der ydes. Ældretilsynet vurderer derfor, at borgerne oplever at have selvbestemmelse og løbende indflydelse på tilrettelæggelse og udførelse af hjælpen ud fra borgerens aktuelle behov og ressourcer.</w:t>
            </w:r>
            <w:r w:rsidRPr="00825288">
              <w:rPr>
                <w:rFonts w:ascii="Aptos" w:hAnsi="Aptos"/>
                <w:sz w:val="22"/>
              </w:rPr>
              <w:br/>
            </w:r>
            <w:r w:rsidRPr="00825288">
              <w:rPr>
                <w:rFonts w:ascii="Aptos" w:hAnsi="Aptos"/>
                <w:sz w:val="22"/>
              </w:rPr>
              <w:br/>
              <w:t xml:space="preserve">Ældretilsynet vurderer videre, at leverandøren på et punkt har udfordringer i kvaliteten i forhold til temaet "Den ældres selvbestemmelse".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To borgere fortæller i interviews, at de modtager hjælp fra en del forskellige medarbejdere. Begge borgere fortæller enslydende, at der også er faste medarbejdere, som de kender, og som kommer igen. De to borgere fortæller adspurgt, at de får den nødvendige hjælp. Dette understøttes i interviews med to pårørende. En pårørende fortæller, at vedkommende oplever, at leverandøren som udgangspunkt tilstræber, at det er borgerens kontaktperson, der yder hjælpen, men at der til trods herfor kommer en del forskellige medarbejdere. En tredje pårørende fortæller, at familiemedlemmet er frustreret over, at der kommer mange forskellige medarbejdere. Denne pårørende fortæller desuden, at der er planlagt et møde med leverandørens ledelse for at drøfte disse udfordringer. Medarbejderne fortæller i interview, at de som udgangspunkt hjælper de borgere, som de er kontaktpersoner for. Ledelsen bekræfter dette i interview og fortæller samtidig, at leverandøren i en periode har haft et højt forbrug af eksterne vikarer. Dette som følge af flere opsigelser i forbindelse med en fusion af to hjemmeplejeenheder til én. Ledelsen oplyser, at vikarforbruget nu er reduceret markant. Derudover fortæller ledelsen om en igangværende proces, hvor helhedsplejen er organiseret i mindre medarbejdergrupper inden for de faste teams. Disse grupper, benævnt ”læringsmakker”, samarbejder om helhedsplejen hos faste borgere. Ledelsen fortæller herom at formålet er, at sikre kontinuiteten ved at begrænse antallet af forskellige medarbejdere, som hjælper den enkelte borger. Ældretilsynet vurderer derfor, at leverandøren er i proces med at sikre, at der er kontinuitet i helhedsplejen, men at leverandøren på nuværende </w:t>
            </w:r>
            <w:r w:rsidRPr="00825288">
              <w:rPr>
                <w:rFonts w:ascii="Aptos" w:hAnsi="Aptos"/>
                <w:sz w:val="22"/>
              </w:rPr>
              <w:lastRenderedPageBreak/>
              <w:t>tidspunkt, i mindre grad lykkedes med, at der kommer færrest mulige forskellige medarbejdere i hjemmet.</w:t>
            </w:r>
            <w:r w:rsidRPr="00825288">
              <w:rPr>
                <w:rFonts w:ascii="Aptos" w:hAnsi="Aptos"/>
                <w:sz w:val="22"/>
              </w:rPr>
              <w:br/>
            </w:r>
            <w:r w:rsidRPr="00825288">
              <w:rPr>
                <w:rFonts w:ascii="Aptos" w:hAnsi="Aptos"/>
                <w:sz w:val="22"/>
              </w:rPr>
              <w:br/>
              <w:t xml:space="preserve">Ældretilsynet vurderer derfor, at leverandøren med fordel kan have fokus på: </w:t>
            </w:r>
            <w:r w:rsidRPr="00825288">
              <w:rPr>
                <w:rFonts w:ascii="Aptos" w:hAnsi="Aptos"/>
                <w:sz w:val="22"/>
              </w:rPr>
              <w:br/>
            </w:r>
            <w:r w:rsidRPr="00825288">
              <w:rPr>
                <w:rFonts w:ascii="Aptos" w:hAnsi="Aptos"/>
                <w:sz w:val="22"/>
              </w:rPr>
              <w:br/>
              <w:t xml:space="preserve">At arbejde systematisk med at sikre færrest mulige forskellige medarbejdere i hjemmet. Herunder at leverandøren arbejder videre med den igangværende proces, hvor konkrete initiativer er iværksat for at understøtte kontinuiteten hos den enkelte borger. </w:t>
            </w:r>
            <w:r w:rsidRPr="00825288">
              <w:rPr>
                <w:rFonts w:ascii="Aptos" w:hAnsi="Aptos"/>
                <w:sz w:val="22"/>
              </w:rPr>
              <w:br/>
            </w:r>
            <w:r w:rsidRPr="00825288">
              <w:rPr>
                <w:rFonts w:ascii="Aptos" w:hAnsi="Aptos"/>
                <w:sz w:val="22"/>
              </w:rPr>
              <w:br/>
              <w:t>Fokuspunktet er drøftet med leverandøren.</w:t>
            </w: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"Tillid til medarbejdere og den borgernære ledelse".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Tre medarbejdere fortæller i interview, at leverandøren har ansat to kompetenceudviklende medarbejdere i form af en sygeplejerske og en ergoterapeut. Medarbejderne fortæller videre, at disse har en central rolle i forhold til at understøtte medarbejdernes kompetencer i helhedsplejen. Medarbejderne fortæller videre, at de kompetenceudviklende medarbejdere blandt andet underviser medarbejderne og at de er med i helhedsplejen og deltager i følgeskab hos borgerne for at sikre, at medarbejderne har de nødvendige kompetencer i opgaveløsningen. Medarbejderne fortæller derudover, at følgeskab planlægges ud fra et fast rul, men også iværksættes løbende efter behov. Desuden fortæller medarbejderne, at en gruppe medarbejdere aktuelt deltager i et kommunalt opkvalificeringsforløb om den nye ældrelov. Medarbejderne fortæller i forlængelse heraf, at denne gruppe fungerer som såkaldte kulturbærere og har til opgave at videregive deres viden til kollegerne. Dette understøttes i interview med ledelsen. Ledelsen uddyber, at de kompetenceudviklende medarbejdere gennem følgeskab, ud over at understøtte den enkelte medarbejders faglige kompetencer, også opnår viden om generelle tendenser og forbedringspotentialer i helhedsplejen. Denne viden anvendes til at målrette undervisning til hele medarbejdergruppen. Ledelsen fortæller desuden, at der er planlagt fast undervisning to gange om ugen, hvor medarbejderne deler viden inden for relevante faglige emner. Ældretilsynet vurderer derfor, at leverandørens ledelse sikrer, at medarbejderne samlet set har de nødvendige kompetencer i forhold til at varetage helhedsplejen.</w:t>
            </w:r>
            <w:r w:rsidRPr="00825288">
              <w:rPr>
                <w:rFonts w:ascii="Aptos" w:hAnsi="Aptos"/>
                <w:sz w:val="22"/>
              </w:rPr>
              <w:br/>
            </w:r>
            <w:r w:rsidRPr="00825288">
              <w:rPr>
                <w:rFonts w:ascii="Aptos" w:hAnsi="Aptos"/>
                <w:sz w:val="22"/>
              </w:rPr>
              <w:br/>
              <w:t xml:space="preserve">• Ældretilsynet observerer under medarbejdernes triageringsmøde i dagvagten, at alle deltagere aktivt byder ind i den faglige dialog om borgerne. Medarbejderne skiftes til at byde ind og er opmærksomme på hinanden, ved at se på den der taler. Medarbejderne stiller nysgerrige og relevante spørgsmål til hinanden, f.eks. om ændringer hos en borger er dokumenteret i besøgsplanen. Dette kan indikere, at det er en naturlig del af medarbejdernes hverdag at dele viden og samarbejde på en effektiv måde. Dette understøttes i interview med tre medarbejdere, som fortæller, at der er en fast mødestruktur, der sikrer faglig sparring på tværs af faggrupper. Mødestrukturen omfatter blandt andet tværfaglige konferencer to gange om ugen, hvor borgernes livssituation drøftes med udgangspunkt i ICF-modellen, som ramme for den faglige dialog. Dette understøttes yderligere i interview med ledelsen, som supplerende fortæller, at der blandt andet er </w:t>
            </w:r>
            <w:r w:rsidRPr="00825288">
              <w:rPr>
                <w:rFonts w:ascii="Aptos" w:hAnsi="Aptos"/>
                <w:sz w:val="22"/>
              </w:rPr>
              <w:lastRenderedPageBreak/>
              <w:t>arbejdet målrettet med at styrke det tværfaglige samarbejde i forbindelse med overleveringer mellem vagtlag. Her indgår triagering nu som et fast element. Ledelsen fortæller desuden, at der afholdes ugentlige teammøder i de faste teams. Ældretilsynet vurderer derfor, at leverandørens organisering understøtter en tværfaglig og helhedsorienteret udførelse af hjælpen.</w:t>
            </w: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44D6852" w14:textId="70D7B4F6" w:rsidR="00653405" w:rsidRDefault="00653405" w:rsidP="00BA2E29">
      <w:pPr>
        <w:pStyle w:val="Overskrift3"/>
      </w:pPr>
      <w:r>
        <w:t xml:space="preserve">Tema 3 – </w:t>
      </w:r>
      <w:r w:rsidR="00265483">
        <w:t>Et tæt s</w:t>
      </w:r>
      <w:r>
        <w:t>amspil med</w:t>
      </w:r>
      <w:r w:rsidR="00265483">
        <w:t xml:space="preserve"> de</w:t>
      </w:r>
      <w:r>
        <w:t xml:space="preserve">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 xml:space="preserve">Ældretilsynet vurderer, at leverandøren har god kvalitet i forhold til temaet "Et tæt samspil med pårørende, lokale fællesskaber og civilsamfund".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En pårørende fortæller i interview, at vedkommende løbende er i dialog med medarbejderne, når de kommer i hjemmet for at hjælpe familiemedlemmet. Dialogen omhandler blandt andet borgerens behov og indgår som led i et samarbejde, om vurdering og bevilling af relevante hjælpemidler. En anden pårørende fortæller, at vedkommende deltager i møder med leverandøren, når der er behov for det i relation til den hjælp, familiemedlemmet modtager. Den pårørende fortæller f.eks., at der er planlagt et møde med leverandørens ledelse, hvor familiemedlemmets behov for at modtage hjælp fra færrest mulige forskellige medarbejdere skal drøftes. En tredje pårørende fortæller, at medarbejderne kontakter vedkommende, hvis familiemedlemmet f.eks. mangler medicin. I forlængelse heraf oplyser den pårørende, at der er indgået aftaler om denne måde at samarbejde på. Dette understøttes i interview med tre medarbejdere som fortæller, at de har fokus på at informere pårørende, hvis de observerer ændringer eller forværring i en borgers tilstand. Ældretilsynet vurderer derfor, at pårørende oplever at blive inddraget, hvor det er relevant.</w:t>
            </w:r>
            <w:r w:rsidRPr="00825288">
              <w:rPr>
                <w:rFonts w:ascii="Aptos" w:hAnsi="Aptos"/>
                <w:sz w:val="22"/>
              </w:rPr>
              <w:br/>
            </w:r>
            <w:r w:rsidRPr="00825288">
              <w:rPr>
                <w:rFonts w:ascii="Aptos" w:hAnsi="Aptos"/>
                <w:sz w:val="22"/>
              </w:rPr>
              <w:br/>
              <w:t>• Ældretilsynet observerer under helhedsplejen hos en borger, at medarbejderen taler med borgeren om muligheden for igen at spise i Folkehusets kantine, da borgeren er ved at komme sig efter sygdom. Medarbejderen tilbyder at hjælpe borgeren til kantinen i kørestol, hvis borgeren ønsker det. Dette kan indikere, at medarbejderen har fokus på at støtte borgeren i at deltage i lokale fællesskaber. Dette understøttes i interview med tre medarbejdere, som fortæller, at de løbende taler med borgerne om deres ønsker og behov i forhold til deltagelse i aktiviteter. Medarbejderne oplyser, at de udleverer Folkehusets aktivitetsoversigt og madplan og har aftaler med flere borgere om at følge dem til aktiviteter. Medarbejderne fortæller desuden, at der samarbejdes med frivillighedsorganisationer, som kan støtte borgerne med følgeskab. De nævner blandt andet organisationen Social Sundhed, som tilbyder denne form for støtte. Dette bekræftes i interview med ledelsen. Ledelsen fortæller, at medarbejderne ugentligt modtager et nyhedsbrev, hvor der blandt andet henvises til samarbejdspartnere i civilsamfundet med henblik på at støtte borgernes deltagelse i aktiviteter og fællesskaber. Ledelsen fortæller desuden, at alle leverandørens borgere og pårørende er inviteret til et Åben Hus-arrangement, hvor lokale fællesskaber og foreninger fra civilsamfundet kommer og fortæller om deres forskellige tilbud. Ældretilsynet vurderer derfor, at leverandøren arbejder systematisk med inddragelse af pårørende, lokale fællesskab og civilsamfund, i det omfang borgeren ønsker det.</w:t>
            </w:r>
          </w:p>
          <w:p w14:paraId="79E04C46" w14:textId="77777777" w:rsidR="00336A9E" w:rsidRPr="00764A3A" w:rsidRDefault="00336A9E" w:rsidP="00D65541">
            <w:pPr>
              <w:rPr>
                <w:rFonts w:ascii="Aptos" w:hAnsi="Aptos"/>
                <w:sz w:val="22"/>
              </w:rPr>
            </w:pPr>
          </w:p>
        </w:tc>
      </w:tr>
    </w:tbl>
    <w:p w14:paraId="315E8854" w14:textId="7201D08B" w:rsidR="00C54736" w:rsidRDefault="00653405" w:rsidP="007066B3">
      <w:r>
        <w:br w:type="page"/>
      </w:r>
    </w:p>
    <w:p w14:paraId="48CDC309" w14:textId="4B41AB89" w:rsidR="00E53D04" w:rsidRPr="0095410B" w:rsidRDefault="00E53D04" w:rsidP="0043343D">
      <w:pPr>
        <w:pStyle w:val="Overskrift1"/>
        <w:spacing w:before="0"/>
      </w:pPr>
      <w:r w:rsidRPr="0095410B">
        <w:lastRenderedPageBreak/>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3">
                      <a:extLs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Opfyldt</w:t>
            </w:r>
          </w:p>
        </w:tc>
        <w:tc>
          <w:tcPr>
            <w:tcW w:w="3686" w:type="dxa"/>
          </w:tcPr>
          <w:p w14:paraId="4E907FD1" w14:textId="7758AB4A" w:rsidR="009934C1" w:rsidRPr="00764A3A" w:rsidRDefault="009934C1" w:rsidP="009934C1">
            <w:pPr>
              <w:rPr>
                <w:rFonts w:ascii="Aptos" w:hAnsi="Aptos"/>
                <w:sz w:val="22"/>
              </w:rPr>
            </w:pP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Ikke opfyldt</w:t>
            </w:r>
          </w:p>
        </w:tc>
        <w:tc>
          <w:tcPr>
            <w:tcW w:w="3686" w:type="dxa"/>
          </w:tcPr>
          <w:p w14:paraId="5E656F1D" w14:textId="00F67888" w:rsidR="009934C1" w:rsidRPr="00764A3A" w:rsidRDefault="00401302" w:rsidP="006724AE">
            <w:pPr>
              <w:rPr>
                <w:rFonts w:ascii="Aptos" w:hAnsi="Aptos"/>
                <w:sz w:val="22"/>
              </w:rPr>
            </w:pPr>
            <w:r w:rsidRPr="00401302">
              <w:rPr>
                <w:rFonts w:ascii="Aptos" w:hAnsi="Aptos"/>
                <w:sz w:val="22"/>
              </w:rPr>
              <w:t>To borgere fortæller i interviews, at de modtager hjælp fra en del forskellige medarbejdere. En pårørende fortæller derudover, at familiemedlemmet er frustreret over, at der kommer mange forskellige medarbejdere.</w:t>
            </w: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 xml:space="preserve">Plejeenheden/leverandøren arbejder systematisk med </w:t>
            </w:r>
            <w:r w:rsidRPr="00764A3A">
              <w:rPr>
                <w:rFonts w:ascii="Aptos" w:hAnsi="Aptos"/>
                <w:sz w:val="22"/>
              </w:rPr>
              <w:lastRenderedPageBreak/>
              <w:t>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lastRenderedPageBreak/>
              <w:t>Opfyldt</w:t>
            </w:r>
          </w:p>
        </w:tc>
        <w:tc>
          <w:tcPr>
            <w:tcW w:w="3686" w:type="dxa"/>
          </w:tcPr>
          <w:p w14:paraId="68D0BCED" w14:textId="3075CADE" w:rsidR="009934C1" w:rsidRPr="00764A3A" w:rsidRDefault="009934C1" w:rsidP="006724AE">
            <w:pPr>
              <w:rPr>
                <w:rFonts w:ascii="Aptos" w:hAnsi="Aptos"/>
                <w:sz w:val="22"/>
              </w:rPr>
            </w:pP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Plejeenheden/leverandøren arbejder systematisk med forebyggende, rehabiliterende og vedligeholdende tilgange i helhedsplejen for at understøtte borgernes livsglæde og selvhjulpenhed.</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79B7D6E9" w14:textId="4AAA6A2B" w:rsidR="00C54736" w:rsidRDefault="00D96AB4" w:rsidP="00C54736">
      <w:r>
        <w:br w:type="page"/>
      </w:r>
    </w:p>
    <w:p w14:paraId="1FC7D52E" w14:textId="5550040A" w:rsidR="00D96AB4" w:rsidRDefault="00D96AB4" w:rsidP="00C54736">
      <w:r>
        <w:rPr>
          <w:noProof/>
        </w:rPr>
        <w:lastRenderedPageBreak/>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5">
                      <a:extLst>
                        <a:ext uri="{96DAC541-7B7A-43D3-8B79-37D633B846F1}">
                          <asvg:svgBlip xmlns:asvg="http://schemas.microsoft.com/office/drawing/2016/SVG/main" r:embed="rId16"/>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w:t>
            </w:r>
            <w:r w:rsidRPr="00764A3A">
              <w:rPr>
                <w:rFonts w:ascii="Aptos" w:hAnsi="Aptos"/>
                <w:sz w:val="22"/>
                <w:szCs w:val="22"/>
              </w:rPr>
              <w:lastRenderedPageBreak/>
              <w:t xml:space="preserve">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lastRenderedPageBreak/>
              <w:t>Opfyldt</w:t>
            </w:r>
          </w:p>
        </w:tc>
        <w:tc>
          <w:tcPr>
            <w:tcW w:w="3686" w:type="dxa"/>
          </w:tcPr>
          <w:p w14:paraId="3AF9D6E3" w14:textId="03FA2EBB" w:rsidR="00EE649C" w:rsidRPr="00764A3A" w:rsidRDefault="00EE649C" w:rsidP="00EE649C">
            <w:pPr>
              <w:rPr>
                <w:rFonts w:ascii="Aptos" w:hAnsi="Aptos"/>
                <w:sz w:val="22"/>
              </w:rPr>
            </w:pPr>
          </w:p>
        </w:tc>
      </w:tr>
    </w:tbl>
    <w:p w14:paraId="46C05BBA" w14:textId="06B7CF43" w:rsidR="00C54736" w:rsidRDefault="00D96AB4" w:rsidP="00C54736">
      <w:r>
        <w:br w:type="page"/>
      </w:r>
    </w:p>
    <w:p w14:paraId="218FE107" w14:textId="2D0F8079" w:rsidR="00D96AB4" w:rsidRDefault="00D96AB4" w:rsidP="00C54736">
      <w:r>
        <w:rPr>
          <w:noProof/>
        </w:rPr>
        <w:lastRenderedPageBreak/>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7">
                      <a:extLst>
                        <a:ext uri="{96DAC541-7B7A-43D3-8B79-37D633B846F1}">
                          <asvg:svgBlip xmlns:asvg="http://schemas.microsoft.com/office/drawing/2016/SVG/main" r:embed="rId18"/>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Borgerne oplever, at pårørende, lokale fællesskab og civilsamfund 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 xml:space="preserve">Plejeenheden/leverandøren har et samspil med lokale fællesskaber og civilsamfund i forhold til at understøtte borgerne i at deltage i </w:t>
            </w:r>
            <w:r w:rsidRPr="00764A3A">
              <w:rPr>
                <w:rFonts w:ascii="Aptos" w:hAnsi="Aptos"/>
                <w:sz w:val="22"/>
              </w:rPr>
              <w:lastRenderedPageBreak/>
              <w:t>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lastRenderedPageBreak/>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9"/>
      <w:footerReference w:type="default" r:id="rId20"/>
      <w:footerReference w:type="first" r:id="rId21"/>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1B3EF" w14:textId="77777777" w:rsidR="00A91438" w:rsidRDefault="00A91438" w:rsidP="006E0517">
      <w:pPr>
        <w:spacing w:after="0" w:line="240" w:lineRule="auto"/>
      </w:pPr>
      <w:r>
        <w:separator/>
      </w:r>
    </w:p>
  </w:endnote>
  <w:endnote w:type="continuationSeparator" w:id="0">
    <w:p w14:paraId="318E47CE" w14:textId="77777777" w:rsidR="00A91438" w:rsidRDefault="00A91438"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EndPr/>
    <w:sdtContent>
      <w:sdt>
        <w:sdtPr>
          <w:id w:val="-1769616900"/>
          <w:docPartObj>
            <w:docPartGallery w:val="Page Numbers (Top of Page)"/>
            <w:docPartUnique/>
          </w:docPartObj>
        </w:sdtPr>
        <w:sdtEnd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07-05-2026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1ADA" w14:textId="77777777" w:rsidR="00A91438" w:rsidRDefault="00A91438" w:rsidP="006E0517">
      <w:pPr>
        <w:spacing w:after="0" w:line="240" w:lineRule="auto"/>
      </w:pPr>
      <w:r>
        <w:separator/>
      </w:r>
    </w:p>
  </w:footnote>
  <w:footnote w:type="continuationSeparator" w:id="0">
    <w:p w14:paraId="00EBA7C2" w14:textId="77777777" w:rsidR="00A91438" w:rsidRDefault="00A91438"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D1939"/>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133B8"/>
    <w:rsid w:val="00232852"/>
    <w:rsid w:val="00244414"/>
    <w:rsid w:val="00251654"/>
    <w:rsid w:val="00252A8A"/>
    <w:rsid w:val="002555A6"/>
    <w:rsid w:val="00265483"/>
    <w:rsid w:val="00296EDA"/>
    <w:rsid w:val="002A2295"/>
    <w:rsid w:val="002C615F"/>
    <w:rsid w:val="002D3E25"/>
    <w:rsid w:val="002D3E41"/>
    <w:rsid w:val="002D4E67"/>
    <w:rsid w:val="002F13FD"/>
    <w:rsid w:val="0032362B"/>
    <w:rsid w:val="00332E82"/>
    <w:rsid w:val="0033578A"/>
    <w:rsid w:val="00336A9E"/>
    <w:rsid w:val="00371F14"/>
    <w:rsid w:val="003938E2"/>
    <w:rsid w:val="003977BD"/>
    <w:rsid w:val="003B3C6E"/>
    <w:rsid w:val="003C5802"/>
    <w:rsid w:val="003C6C0D"/>
    <w:rsid w:val="003D483A"/>
    <w:rsid w:val="003E1B3F"/>
    <w:rsid w:val="00401302"/>
    <w:rsid w:val="0041688F"/>
    <w:rsid w:val="00426CDB"/>
    <w:rsid w:val="00432E19"/>
    <w:rsid w:val="0043343D"/>
    <w:rsid w:val="00447B5B"/>
    <w:rsid w:val="00456A6D"/>
    <w:rsid w:val="004839AA"/>
    <w:rsid w:val="004B0F4E"/>
    <w:rsid w:val="004D1A23"/>
    <w:rsid w:val="004D358B"/>
    <w:rsid w:val="004D5A28"/>
    <w:rsid w:val="00502338"/>
    <w:rsid w:val="00502C49"/>
    <w:rsid w:val="00503C42"/>
    <w:rsid w:val="00515563"/>
    <w:rsid w:val="00520C80"/>
    <w:rsid w:val="00523E38"/>
    <w:rsid w:val="00534DAE"/>
    <w:rsid w:val="00537024"/>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A3A0F"/>
    <w:rsid w:val="006D0924"/>
    <w:rsid w:val="006E0517"/>
    <w:rsid w:val="006E2EC1"/>
    <w:rsid w:val="006E4F59"/>
    <w:rsid w:val="006E5EAF"/>
    <w:rsid w:val="006E69E3"/>
    <w:rsid w:val="006E7082"/>
    <w:rsid w:val="00700AC4"/>
    <w:rsid w:val="007066B3"/>
    <w:rsid w:val="007127F8"/>
    <w:rsid w:val="00715B44"/>
    <w:rsid w:val="00716929"/>
    <w:rsid w:val="00716E09"/>
    <w:rsid w:val="0072613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20E4"/>
    <w:rsid w:val="00865E1C"/>
    <w:rsid w:val="00871030"/>
    <w:rsid w:val="00890FC3"/>
    <w:rsid w:val="008963A2"/>
    <w:rsid w:val="008A7AB5"/>
    <w:rsid w:val="008C0340"/>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3E92"/>
    <w:rsid w:val="009E10EB"/>
    <w:rsid w:val="009E3EA0"/>
    <w:rsid w:val="009E3FD0"/>
    <w:rsid w:val="009E505F"/>
    <w:rsid w:val="00A112AB"/>
    <w:rsid w:val="00A41D4F"/>
    <w:rsid w:val="00A42ABF"/>
    <w:rsid w:val="00A445E0"/>
    <w:rsid w:val="00A469CE"/>
    <w:rsid w:val="00A56CCF"/>
    <w:rsid w:val="00A60CC3"/>
    <w:rsid w:val="00A7372C"/>
    <w:rsid w:val="00A83B7E"/>
    <w:rsid w:val="00A9069C"/>
    <w:rsid w:val="00A91438"/>
    <w:rsid w:val="00AA0E20"/>
    <w:rsid w:val="00AA591E"/>
    <w:rsid w:val="00AB26A2"/>
    <w:rsid w:val="00AC0D7B"/>
    <w:rsid w:val="00AC725A"/>
    <w:rsid w:val="00AE25F0"/>
    <w:rsid w:val="00B24AC6"/>
    <w:rsid w:val="00B24AD5"/>
    <w:rsid w:val="00B3211B"/>
    <w:rsid w:val="00B46562"/>
    <w:rsid w:val="00B8347E"/>
    <w:rsid w:val="00B972BB"/>
    <w:rsid w:val="00BA2E29"/>
    <w:rsid w:val="00BB752C"/>
    <w:rsid w:val="00BD089B"/>
    <w:rsid w:val="00BD0F5D"/>
    <w:rsid w:val="00C02448"/>
    <w:rsid w:val="00C026C7"/>
    <w:rsid w:val="00C072E5"/>
    <w:rsid w:val="00C16147"/>
    <w:rsid w:val="00C21586"/>
    <w:rsid w:val="00C54736"/>
    <w:rsid w:val="00C61DD8"/>
    <w:rsid w:val="00C73E1C"/>
    <w:rsid w:val="00CA0195"/>
    <w:rsid w:val="00CC494C"/>
    <w:rsid w:val="00CC4AAC"/>
    <w:rsid w:val="00CD27C2"/>
    <w:rsid w:val="00CE7E88"/>
    <w:rsid w:val="00CF2C25"/>
    <w:rsid w:val="00CF4887"/>
    <w:rsid w:val="00CF6B42"/>
    <w:rsid w:val="00D3376B"/>
    <w:rsid w:val="00D37B3B"/>
    <w:rsid w:val="00D41AB9"/>
    <w:rsid w:val="00D61A6D"/>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D1939"/>
    <w:rsid w:val="000F180D"/>
    <w:rsid w:val="000F4F59"/>
    <w:rsid w:val="00167638"/>
    <w:rsid w:val="00251654"/>
    <w:rsid w:val="002D4E67"/>
    <w:rsid w:val="003977BD"/>
    <w:rsid w:val="003B6632"/>
    <w:rsid w:val="00432E19"/>
    <w:rsid w:val="00447B5B"/>
    <w:rsid w:val="00475844"/>
    <w:rsid w:val="004D5A28"/>
    <w:rsid w:val="00552114"/>
    <w:rsid w:val="00560BA3"/>
    <w:rsid w:val="00606894"/>
    <w:rsid w:val="006A3A0F"/>
    <w:rsid w:val="006E5EAF"/>
    <w:rsid w:val="006E7082"/>
    <w:rsid w:val="00700896"/>
    <w:rsid w:val="00726132"/>
    <w:rsid w:val="00740F42"/>
    <w:rsid w:val="008152C8"/>
    <w:rsid w:val="00890FC3"/>
    <w:rsid w:val="008C0340"/>
    <w:rsid w:val="008E4971"/>
    <w:rsid w:val="00991630"/>
    <w:rsid w:val="00A41D4F"/>
    <w:rsid w:val="00AA2CBC"/>
    <w:rsid w:val="00AB26A2"/>
    <w:rsid w:val="00AE25F0"/>
    <w:rsid w:val="00B24AC6"/>
    <w:rsid w:val="00B47CBF"/>
    <w:rsid w:val="00C072E5"/>
    <w:rsid w:val="00C87FEA"/>
    <w:rsid w:val="00D37B3B"/>
    <w:rsid w:val="00EA6BA5"/>
    <w:rsid w:val="00EA6E3A"/>
    <w:rsid w:val="00EC3360"/>
    <w:rsid w:val="00EF4B0C"/>
    <w:rsid w:val="00F04F2D"/>
    <w:rsid w:val="00F14903"/>
    <w:rsid w:val="00F93FEA"/>
    <w:rsid w:val="00FB5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CMMustBeOnPostList xmlns="CBD73F05-3AC9-4FFE-BD9B-61BA0186AA8F">false</CCMMustBeOnPostList>
    <Frist xmlns="CBD73F05-3AC9-4FFE-BD9B-61BA0186AA8F" xsi:nil="true"/>
    <Afvisningsaarsag xmlns="CBD73F05-3AC9-4FFE-BD9B-61BA0186AA8F" xsi:nil="true"/>
    <Dokumentgruppe xmlns="CBD73F05-3AC9-4FFE-BD9B-61BA0186AA8F" xsi:nil="true"/>
    <EdocKorrespondance xmlns="CBD73F05-3AC9-4FFE-BD9B-61BA0186AA8F" xsi:nil="true"/>
    <CCMCognitiveType xmlns="http://schemas.microsoft.com/sharepoint/v3" xsi:nil="true"/>
    <Modtagere xmlns="CBD73F05-3AC9-4FFE-BD9B-61BA0186AA8F">
      <Value>104</Value>
      <Value>84</Value>
      <Value>10</Value>
    </Modtagere>
    <CCMAgendaStatus xmlns="CBD73F05-3AC9-4FFE-BD9B-61BA0186AA8F" xsi:nil="true"/>
    <CCMAgendaDocumentStatus xmlns="CBD73F05-3AC9-4FFE-BD9B-61BA0186AA8F" xsi:nil="true"/>
    <CaseOwner xmlns="ff038efd-60d5-4198-a271-1b789e3e63e2">
      <UserInfo>
        <DisplayName>Ellen Marie Gram Carlsen (az60473)</DisplayName>
        <AccountId>6881</AccountId>
        <AccountType/>
      </UserInfo>
    </CaseOwner>
    <Beskrivelse xmlns="ff038efd-60d5-4198-a271-1b789e3e63e2" xsi:nil="true"/>
    <PostListDate xmlns="CBD73F05-3AC9-4FFE-BD9B-61BA0186AA8F">2026-05-26T07:23:02+00:00</PostListDate>
    <CCMMeetingCaseLink xmlns="CBD73F05-3AC9-4FFE-BD9B-61BA0186AA8F">
      <Url xsi:nil="true"/>
      <Description xsi:nil="true"/>
    </CCMMeetingCaseLink>
    <LongTitle xmlns="CBD73F05-3AC9-4FFE-BD9B-61BA0186AA8F" xsi:nil="true"/>
    <Classification xmlns="ff038efd-60d5-4198-a271-1b789e3e63e2" xsi:nil="true"/>
    <Korrespondance xmlns="ff038efd-60d5-4198-a271-1b789e3e63e2">Indgående</Korrespondance>
    <Dato xmlns="ff038efd-60d5-4198-a271-1b789e3e63e2">2026-05-22T09:33:14+00:00</Dato>
    <ErBesvaret xmlns="CBD73F05-3AC9-4FFE-BD9B-61BA0186AA8F">false</ErBesvaret>
    <TaxCatchAll xmlns="25b4a458-2ca6-40fb-b691-22d3cafaa62e"/>
    <Afsender xmlns="CBD73F05-3AC9-4FFE-BD9B-61BA0186AA8F">102</Afsender>
    <EdocDocId xmlns="CBD73F05-3AC9-4FFE-BD9B-61BA0186AA8F" xsi:nil="true"/>
    <Part xmlns="CBD73F05-3AC9-4FFE-BD9B-61BA0186AA8F"/>
    <CCMWorkflowInstanceID xmlns="http://schemas.microsoft.com/sharepoint/v3" xsi:nil="true"/>
    <SvarPaa xmlns="CBD73F05-3AC9-4FFE-BD9B-61BA0186AA8F"/>
    <CCMAgendaItemId xmlns="CBD73F05-3AC9-4FFE-BD9B-61BA0186AA8F" xsi:nil="true"/>
    <Forsendelsesdato xmlns="CBD73F05-3AC9-4FFE-BD9B-61BA0186AA8F" xsi:nil="true"/>
    <CCMMeetingCaseId xmlns="CBD73F05-3AC9-4FFE-BD9B-61BA0186AA8F" xsi:nil="true"/>
    <CCMMetadataExtractionStatus xmlns="http://schemas.microsoft.com/sharepoint/v3">CCMPageCount:Idle;CCMCommentCount:Idle</CCMMetadataExtractionStatus>
    <e98d1497e63448c0b4fc1021de4c39e7 xmlns="CBD73F05-3AC9-4FFE-BD9B-61BA0186AA8F">
      <Terms xmlns="http://schemas.microsoft.com/office/infopath/2007/PartnerControls"/>
    </e98d1497e63448c0b4fc1021de4c39e7>
    <LocalAttachment xmlns="http://schemas.microsoft.com/sharepoint/v3">true</LocalAttachment>
    <Related xmlns="http://schemas.microsoft.com/sharepoint/v3">false</Related>
    <Finalized xmlns="http://schemas.microsoft.com/sharepoint/v3">true</Finalized>
    <CCMConversation xmlns="http://schemas.microsoft.com/sharepoint/v3">Endelig skriftlig tilbagemelding01DCE9A58A76460225437F0D45B9A6352D3138B07C80</CCMConversation>
    <CaseRecordNumber xmlns="http://schemas.microsoft.com/sharepoint/v3">502</CaseRecordNumber>
    <RegistrationDate xmlns="http://schemas.microsoft.com/sharepoint/v3">2026-05-26T07:23:02+00:00</RegistrationDate>
    <WasEncrypted xmlns="http://schemas.microsoft.com/sharepoint/v3">false</WasEncrypted>
    <WasSigned xmlns="http://schemas.microsoft.com/sharepoint/v3">false</WasSigned>
    <CCMOnlineStatus xmlns="http://schemas.microsoft.com/sharepoint/v3" xsi:nil="true"/>
    <CCMPostListPublishStatus xmlns="http://schemas.microsoft.com/sharepoint/v3">Afventer godkendelse</CCMPostListPublishStatus>
    <CCMPageCount xmlns="http://schemas.microsoft.com/sharepoint/v3">13</CCMPageCount>
    <DocID xmlns="http://schemas.microsoft.com/sharepoint/v3">15966221</DocID>
    <CCMCommentCount xmlns="http://schemas.microsoft.com/sharepoint/v3">0</CCMCommentCount>
    <CCMManageRelations xmlns="http://schemas.microsoft.com/sharepoint/v3" xsi:nil="true"/>
    <CCMTemplateVersion xmlns="http://schemas.microsoft.com/sharepoint/v3" xsi:nil="true"/>
    <CCMTemplateID xmlns="http://schemas.microsoft.com/sharepoint/v3">0</CCMTemplateID>
    <CaseID xmlns="http://schemas.microsoft.com/sharepoint/v3">EMN-2022-020129</CaseID>
    <CCMPreviewAnnotationsTasks xmlns="http://schemas.microsoft.com/sharepoint/v3" xsi:nil="true"/>
    <CCMTemplateName xmlns="http://schemas.microsoft.com/sharepoint/v3" xsi:nil="true"/>
    <CCMSystemID xmlns="http://schemas.microsoft.com/sharepoint/v3">f452fd82-f825-4625-94f7-931e364632d9</CCMSystemID>
    <CCMVisualId xmlns="http://schemas.microsoft.com/sharepoint/v3">EMN-2022-020129</CCMVisual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0BF17D2643DC544B05977D029B3D8D2" ma:contentTypeVersion="5" ma:contentTypeDescription="GetOrganized dokument" ma:contentTypeScope="" ma:versionID="6946deb82b890228214dacd79bf92b11">
  <xsd:schema xmlns:xsd="http://www.w3.org/2001/XMLSchema" xmlns:xs="http://www.w3.org/2001/XMLSchema" xmlns:p="http://schemas.microsoft.com/office/2006/metadata/properties" xmlns:ns1="http://schemas.microsoft.com/sharepoint/v3" xmlns:ns2="ff038efd-60d5-4198-a271-1b789e3e63e2" xmlns:ns3="CBD73F05-3AC9-4FFE-BD9B-61BA0186AA8F" xmlns:ns4="25b4a458-2ca6-40fb-b691-22d3cafaa62e" targetNamespace="http://schemas.microsoft.com/office/2006/metadata/properties" ma:root="true" ma:fieldsID="05ba05321537e5ed26ea52ba412fc8d0" ns1:_="" ns2:_="" ns3:_="" ns4:_="">
    <xsd:import namespace="http://schemas.microsoft.com/sharepoint/v3"/>
    <xsd:import namespace="ff038efd-60d5-4198-a271-1b789e3e63e2"/>
    <xsd:import namespace="CBD73F05-3AC9-4FFE-BD9B-61BA0186AA8F"/>
    <xsd:import namespace="25b4a458-2ca6-40fb-b691-22d3cafaa62e"/>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minOccurs="0"/>
                <xsd:element ref="ns1:CCMWorkflowInstanceID" minOccurs="0"/>
                <xsd:element ref="ns1:CCMWorkflo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nillable="true"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Godkendelse" ma:internalName="CCMWorkflowInstanceID">
      <xsd:simpleType>
        <xsd:restriction base="dms:Text">
          <xsd:maxLength value="255"/>
        </xsd:restriction>
      </xsd:simpleType>
    </xsd:element>
    <xsd:element name="CCMWorkflowStatus" ma:index="65" nillable="true" ma:displayName="Godkendelses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enumeration value="Afsluttet"/>
        </xsd:restrictio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fault=""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CBD73F05-3AC9-4FFE-BD9B-61BA0186AA8F"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A8576B97-8CA1-4B76-8763-02ABEEEDA200}"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A8576B97-8CA1-4B76-8763-02ABEEEDA200}"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CBD73F05-3AC9-4FFE-BD9B-61BA0186AA8F}"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A8576B97-8CA1-4B76-8763-02ABEEEDA200}"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0" ma:description="" ma:internalName="CCMMustBeOnPostList">
      <xsd:simpleType>
        <xsd:restriction base="dms:Boolean"/>
      </xsd:simpleType>
    </xsd:element>
    <xsd:element name="PostListDate" ma:index="20" nillable="true" ma:displayName="Skal tilføjes til postlist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4a458-2ca6-40fb-b691-22d3cafaa62e"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b35dd14f-8c9c-4a25-82c7-bbe9cbcfd4e1}" ma:internalName="TaxCatchAll" ma:showField="CatchAllData" ma:web="25b4a458-2ca6-40fb-b691-22d3cafaa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customXml/itemProps2.xml><?xml version="1.0" encoding="utf-8"?>
<ds:datastoreItem xmlns:ds="http://schemas.openxmlformats.org/officeDocument/2006/customXml" ds:itemID="{ED62EAAA-C2A5-4CD9-9780-01AE4563588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25b4a458-2ca6-40fb-b691-22d3cafaa62e"/>
    <ds:schemaRef ds:uri="http://schemas.microsoft.com/sharepoint/v3"/>
    <ds:schemaRef ds:uri="http://purl.org/dc/terms/"/>
    <ds:schemaRef ds:uri="http://purl.org/dc/elements/1.1/"/>
    <ds:schemaRef ds:uri="CBD73F05-3AC9-4FFE-BD9B-61BA0186AA8F"/>
    <ds:schemaRef ds:uri="ff038efd-60d5-4198-a271-1b789e3e63e2"/>
    <ds:schemaRef ds:uri="http://www.w3.org/XML/1998/namespace"/>
  </ds:schemaRefs>
</ds:datastoreItem>
</file>

<file path=customXml/itemProps3.xml><?xml version="1.0" encoding="utf-8"?>
<ds:datastoreItem xmlns:ds="http://schemas.openxmlformats.org/officeDocument/2006/customXml" ds:itemID="{91F5B398-AA80-4509-BB8E-AA429BA686EE}">
  <ds:schemaRefs>
    <ds:schemaRef ds:uri="http://schemas.microsoft.com/sharepoint/v3/contenttype/forms"/>
  </ds:schemaRefs>
</ds:datastoreItem>
</file>

<file path=customXml/itemProps4.xml><?xml version="1.0" encoding="utf-8"?>
<ds:datastoreItem xmlns:ds="http://schemas.openxmlformats.org/officeDocument/2006/customXml" ds:itemID="{D0FD8EE9-5676-4783-9400-207FDC801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CBD73F05-3AC9-4FFE-BD9B-61BA0186AA8F"/>
    <ds:schemaRef ds:uri="25b4a458-2ca6-40fb-b691-22d3cafa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2743</Words>
  <Characters>17341</Characters>
  <Application>Microsoft Office Word</Application>
  <DocSecurity>0</DocSecurity>
  <Lines>541</Lines>
  <Paragraphs>161</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Hj. pl. Vestervang Skriftlig tilbagemelding</dc:title>
  <dc:subject/>
  <dc:creator>Yvonne Inez Glesner (24505)</dc:creator>
  <cp:keywords/>
  <dc:description/>
  <cp:lastModifiedBy>Ellen Marie Gram Carlsen</cp:lastModifiedBy>
  <cp:revision>2</cp:revision>
  <dcterms:created xsi:type="dcterms:W3CDTF">2026-05-26T07:30:00Z</dcterms:created>
  <dcterms:modified xsi:type="dcterms:W3CDTF">2026-05-26T07:30:00Z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0x010100AC085CFC53BC46CEA2EADE194AD9D4820000BF17D2643DC544B05977D029B3D8D2</vt:lpwstr>
  </property>
  <property fmtid="{D5CDD505-2E9C-101B-9397-08002B2CF9AE}" pid="3" name="CCMOneDriveID">
    <vt:lpwstr/>
  </property>
  <property fmtid="{D5CDD505-2E9C-101B-9397-08002B2CF9AE}" pid="4" name="CCMIsEmailAttachment">
    <vt:lpwstr>1</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Dokumenttype">
    <vt:lpwstr/>
  </property>
  <property fmtid="{D5CDD505-2E9C-101B-9397-08002B2CF9AE}" pid="9" name="TemplateUrl">
    <vt:lpwstr/>
  </property>
  <property fmtid="{D5CDD505-2E9C-101B-9397-08002B2CF9AE}" pid="10" name="CCMEventContext_DocumentGOWorkflowUpdatingEvent">
    <vt:lpwstr>5c5df538-9ee4-4b68-9e30-8fd02d6071d5</vt:lpwstr>
  </property>
  <property fmtid="{D5CDD505-2E9C-101B-9397-08002B2CF9AE}" pid="11" name="CCMReplyToDocCacheId_AA145BE6-B859-401A-B2E0-03BB3E7048FC_">
    <vt:lpwstr>CCMReplyToDocCacheId_AA145BE6-B859-401A-B2E0-03BB3E7048FC_64a5d337-c8f5-4eff-90fc-b672b2ef7f69</vt:lpwstr>
  </property>
  <property fmtid="{D5CDD505-2E9C-101B-9397-08002B2CF9AE}" pid="12" name="CCMSystem">
    <vt:lpwstr> </vt:lpwstr>
  </property>
  <property fmtid="{D5CDD505-2E9C-101B-9397-08002B2CF9AE}" pid="13" name="CCMEventContext_DocumentTimelineUpdatingEvent">
    <vt:lpwstr>274cc95d-2c37-442a-8198-c4f35250b18e</vt:lpwstr>
  </property>
  <property fmtid="{D5CDD505-2E9C-101B-9397-08002B2CF9AE}" pid="14" name="CCMCommunication">
    <vt:lpwstr>GOWorkflowDocumentLastCheckedInVersion;1.0</vt:lpwstr>
  </property>
</Properties>
</file>