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7316" w14:textId="058C6BF2" w:rsidR="00436C37" w:rsidRPr="00C15B55" w:rsidRDefault="00E26CD5" w:rsidP="00102F11">
      <w:pPr>
        <w:pStyle w:val="Overskrift"/>
        <w:rPr>
          <w:rFonts w:eastAsiaTheme="minorHAnsi"/>
          <w:color w:val="FF0000"/>
          <w:lang w:eastAsia="en-US"/>
        </w:rPr>
      </w:pPr>
      <w:r w:rsidRPr="00C15B55">
        <w:rPr>
          <w:rFonts w:eastAsiaTheme="minorHAnsi"/>
          <w:noProof/>
          <w:color w:val="FF0000"/>
        </w:rPr>
        <mc:AlternateContent>
          <mc:Choice Requires="wps">
            <w:drawing>
              <wp:anchor distT="45720" distB="45720" distL="114300" distR="114300" simplePos="0" relativeHeight="251658242" behindDoc="0" locked="0" layoutInCell="1" allowOverlap="1" wp14:anchorId="147355B7" wp14:editId="7715E61F">
                <wp:simplePos x="0" y="0"/>
                <wp:positionH relativeFrom="margin">
                  <wp:align>left</wp:align>
                </wp:positionH>
                <wp:positionV relativeFrom="paragraph">
                  <wp:posOffset>7973868</wp:posOffset>
                </wp:positionV>
                <wp:extent cx="6715760" cy="1404620"/>
                <wp:effectExtent l="0" t="0" r="0" b="0"/>
                <wp:wrapSquare wrapText="bothSides"/>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760" cy="1404620"/>
                        </a:xfrm>
                        <a:prstGeom prst="rect">
                          <a:avLst/>
                        </a:prstGeom>
                        <a:noFill/>
                        <a:ln w="9525">
                          <a:noFill/>
                          <a:miter lim="800000"/>
                          <a:headEnd/>
                          <a:tailEnd/>
                        </a:ln>
                      </wps:spPr>
                      <wps:txbx>
                        <w:txbxContent>
                          <w:p w14:paraId="5035ECCF" w14:textId="7EB8EF69" w:rsidR="009421DD" w:rsidRDefault="009421DD" w:rsidP="00697B3F">
                            <w:pPr>
                              <w:jc w:val="right"/>
                              <w:rPr>
                                <w:sz w:val="72"/>
                              </w:rPr>
                            </w:pPr>
                            <w:r>
                              <w:rPr>
                                <w:sz w:val="72"/>
                              </w:rPr>
                              <w:t>Beskrivelse af finansiering</w:t>
                            </w:r>
                          </w:p>
                          <w:p w14:paraId="1BDB3686" w14:textId="17873DF4" w:rsidR="009421DD" w:rsidRPr="00697B3F" w:rsidRDefault="009421DD" w:rsidP="00697B3F">
                            <w:pPr>
                              <w:jc w:val="right"/>
                              <w:rPr>
                                <w:sz w:val="72"/>
                              </w:rPr>
                            </w:pPr>
                            <w:r w:rsidRPr="00697B3F">
                              <w:rPr>
                                <w:sz w:val="72"/>
                              </w:rPr>
                              <w:t xml:space="preserve"> i </w:t>
                            </w:r>
                            <w:r w:rsidR="009D7374">
                              <w:rPr>
                                <w:sz w:val="72"/>
                              </w:rPr>
                              <w:t>b</w:t>
                            </w:r>
                            <w:r w:rsidRPr="00697B3F">
                              <w:rPr>
                                <w:sz w:val="72"/>
                              </w:rPr>
                              <w:t>udget</w:t>
                            </w:r>
                            <w:r>
                              <w:rPr>
                                <w:sz w:val="72"/>
                              </w:rPr>
                              <w:t xml:space="preserve"> </w:t>
                            </w:r>
                            <w:r w:rsidRPr="00697B3F">
                              <w:rPr>
                                <w:sz w:val="72"/>
                              </w:rPr>
                              <w:t>20</w:t>
                            </w:r>
                            <w:r>
                              <w:rPr>
                                <w:sz w:val="72"/>
                              </w:rPr>
                              <w:t>2</w:t>
                            </w:r>
                            <w:r w:rsidR="009F5A23">
                              <w:rPr>
                                <w:sz w:val="72"/>
                              </w:rPr>
                              <w:t>6</w:t>
                            </w:r>
                            <w:r>
                              <w:rPr>
                                <w:sz w:val="72"/>
                              </w:rPr>
                              <w:t>-202</w:t>
                            </w:r>
                            <w:r w:rsidR="009F5A23">
                              <w:rPr>
                                <w:sz w:val="72"/>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355B7" id="_x0000_t202" coordsize="21600,21600" o:spt="202" path="m,l,21600r21600,l21600,xe">
                <v:stroke joinstyle="miter"/>
                <v:path gradientshapeok="t" o:connecttype="rect"/>
              </v:shapetype>
              <v:shape id="Tekstfelt 1" o:spid="_x0000_s1026" type="#_x0000_t202" style="position:absolute;margin-left:0;margin-top:627.85pt;width:528.8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" filled="f" stroked="f">
                <v:textbox style="mso-fit-shape-to-text:t">
                  <w:txbxContent>
                    <w:p w14:paraId="5035ECCF" w14:textId="7EB8EF69" w:rsidR="009421DD" w:rsidRDefault="009421DD" w:rsidP="00697B3F">
                      <w:pPr>
                        <w:jc w:val="right"/>
                        <w:rPr>
                          <w:sz w:val="72"/>
                        </w:rPr>
                      </w:pPr>
                      <w:r>
                        <w:rPr>
                          <w:sz w:val="72"/>
                        </w:rPr>
                        <w:t>Beskrivelse af finansiering</w:t>
                      </w:r>
                    </w:p>
                    <w:p w14:paraId="1BDB3686" w14:textId="17873DF4" w:rsidR="009421DD" w:rsidRPr="00697B3F" w:rsidRDefault="009421DD" w:rsidP="00697B3F">
                      <w:pPr>
                        <w:jc w:val="right"/>
                        <w:rPr>
                          <w:sz w:val="72"/>
                        </w:rPr>
                      </w:pPr>
                      <w:r w:rsidRPr="00697B3F">
                        <w:rPr>
                          <w:sz w:val="72"/>
                        </w:rPr>
                        <w:t xml:space="preserve"> i </w:t>
                      </w:r>
                      <w:r w:rsidR="009D7374">
                        <w:rPr>
                          <w:sz w:val="72"/>
                        </w:rPr>
                        <w:t>b</w:t>
                      </w:r>
                      <w:r w:rsidRPr="00697B3F">
                        <w:rPr>
                          <w:sz w:val="72"/>
                        </w:rPr>
                        <w:t>udget</w:t>
                      </w:r>
                      <w:r>
                        <w:rPr>
                          <w:sz w:val="72"/>
                        </w:rPr>
                        <w:t xml:space="preserve"> </w:t>
                      </w:r>
                      <w:r w:rsidRPr="00697B3F">
                        <w:rPr>
                          <w:sz w:val="72"/>
                        </w:rPr>
                        <w:t>20</w:t>
                      </w:r>
                      <w:r>
                        <w:rPr>
                          <w:sz w:val="72"/>
                        </w:rPr>
                        <w:t>2</w:t>
                      </w:r>
                      <w:r w:rsidR="009F5A23">
                        <w:rPr>
                          <w:sz w:val="72"/>
                        </w:rPr>
                        <w:t>6</w:t>
                      </w:r>
                      <w:r>
                        <w:rPr>
                          <w:sz w:val="72"/>
                        </w:rPr>
                        <w:t>-202</w:t>
                      </w:r>
                      <w:r w:rsidR="009F5A23">
                        <w:rPr>
                          <w:sz w:val="72"/>
                        </w:rPr>
                        <w:t>9</w:t>
                      </w:r>
                    </w:p>
                  </w:txbxContent>
                </v:textbox>
                <w10:wrap type="square" anchorx="margin"/>
              </v:shape>
            </w:pict>
          </mc:Fallback>
        </mc:AlternateContent>
      </w:r>
      <w:r w:rsidR="00697B3F" w:rsidRPr="00C15B55">
        <w:rPr>
          <w:rFonts w:eastAsiaTheme="minorHAnsi"/>
          <w:noProof/>
          <w:color w:val="FF0000"/>
        </w:rPr>
        <mc:AlternateContent>
          <mc:Choice Requires="wps">
            <w:drawing>
              <wp:anchor distT="45720" distB="45720" distL="114300" distR="114300" simplePos="0" relativeHeight="251658243" behindDoc="0" locked="0" layoutInCell="1" allowOverlap="1" wp14:anchorId="4D04FFDC" wp14:editId="53D86CBE">
                <wp:simplePos x="0" y="0"/>
                <wp:positionH relativeFrom="margin">
                  <wp:align>left</wp:align>
                </wp:positionH>
                <wp:positionV relativeFrom="paragraph">
                  <wp:posOffset>176530</wp:posOffset>
                </wp:positionV>
                <wp:extent cx="6304915" cy="1404620"/>
                <wp:effectExtent l="0" t="0" r="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404620"/>
                        </a:xfrm>
                        <a:prstGeom prst="rect">
                          <a:avLst/>
                        </a:prstGeom>
                        <a:noFill/>
                        <a:ln w="9525">
                          <a:noFill/>
                          <a:miter lim="800000"/>
                          <a:headEnd/>
                          <a:tailEnd/>
                        </a:ln>
                      </wps:spPr>
                      <wps:txbx>
                        <w:txbxContent>
                          <w:p w14:paraId="15ED6471" w14:textId="38F0B8FD" w:rsidR="009421DD" w:rsidRPr="00B07979" w:rsidRDefault="009421DD">
                            <w:pPr>
                              <w:rPr>
                                <w:sz w:val="160"/>
                                <w:szCs w:val="160"/>
                              </w:rPr>
                            </w:pPr>
                            <w:r w:rsidRPr="00B07979">
                              <w:rPr>
                                <w:sz w:val="160"/>
                                <w:szCs w:val="160"/>
                              </w:rPr>
                              <w:t>Finansiering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04FFDC" id="Tekstfelt 2" o:spid="_x0000_s1027" type="#_x0000_t202" style="position:absolute;margin-left:0;margin-top:13.9pt;width:496.4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E/Q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" filled="f" stroked="f">
                <v:textbox style="mso-fit-shape-to-text:t">
                  <w:txbxContent>
                    <w:p w14:paraId="15ED6471" w14:textId="38F0B8FD" w:rsidR="009421DD" w:rsidRPr="00B07979" w:rsidRDefault="009421DD">
                      <w:pPr>
                        <w:rPr>
                          <w:sz w:val="160"/>
                          <w:szCs w:val="160"/>
                        </w:rPr>
                      </w:pPr>
                      <w:r w:rsidRPr="00B07979">
                        <w:rPr>
                          <w:sz w:val="160"/>
                          <w:szCs w:val="160"/>
                        </w:rPr>
                        <w:t>Finansiering</w:t>
                      </w:r>
                    </w:p>
                  </w:txbxContent>
                </v:textbox>
                <w10:wrap type="square" anchorx="margin"/>
              </v:shape>
            </w:pict>
          </mc:Fallback>
        </mc:AlternateContent>
      </w:r>
      <w:r w:rsidR="00697B3F" w:rsidRPr="00C15B55">
        <w:rPr>
          <w:rFonts w:eastAsiaTheme="minorHAnsi"/>
          <w:noProof/>
          <w:color w:val="FF0000"/>
        </w:rPr>
        <mc:AlternateContent>
          <mc:Choice Requires="wps">
            <w:drawing>
              <wp:anchor distT="45720" distB="45720" distL="114300" distR="114300" simplePos="0" relativeHeight="251658241" behindDoc="0" locked="0" layoutInCell="1" allowOverlap="1" wp14:anchorId="30D09C5A" wp14:editId="7D0B0CD2">
                <wp:simplePos x="0" y="0"/>
                <wp:positionH relativeFrom="page">
                  <wp:align>left</wp:align>
                </wp:positionH>
                <wp:positionV relativeFrom="paragraph">
                  <wp:posOffset>3509010</wp:posOffset>
                </wp:positionV>
                <wp:extent cx="8926830" cy="1908810"/>
                <wp:effectExtent l="2175510" t="0" r="2183130" b="0"/>
                <wp:wrapTopAndBottom/>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260930">
                          <a:off x="0" y="0"/>
                          <a:ext cx="8926830" cy="1908810"/>
                        </a:xfrm>
                        <a:prstGeom prst="rect">
                          <a:avLst/>
                        </a:prstGeom>
                        <a:noFill/>
                        <a:ln w="9525">
                          <a:noFill/>
                          <a:miter lim="800000"/>
                          <a:headEnd/>
                          <a:tailEnd/>
                        </a:ln>
                      </wps:spPr>
                      <wps:txbx>
                        <w:txbxContent>
                          <w:p w14:paraId="744A66A1" w14:textId="77777777" w:rsidR="009421DD" w:rsidRPr="00173535" w:rsidRDefault="009421DD" w:rsidP="000A4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09C5A" id="Tekstfelt 217" o:spid="_x0000_s1028" type="#_x0000_t202" style="position:absolute;margin-left:0;margin-top:276.3pt;width:702.9pt;height:150.3pt;rotation:-3647155fd;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" filled="f" stroked="f">
                <v:textbox>
                  <w:txbxContent>
                    <w:p w14:paraId="744A66A1" w14:textId="77777777" w:rsidR="009421DD" w:rsidRPr="00173535" w:rsidRDefault="009421DD" w:rsidP="000A4885"/>
                  </w:txbxContent>
                </v:textbox>
                <w10:wrap type="topAndBottom" anchorx="page"/>
              </v:shape>
            </w:pict>
          </mc:Fallback>
        </mc:AlternateContent>
      </w:r>
      <w:r w:rsidR="00BB066D" w:rsidRPr="00C15B55">
        <w:rPr>
          <w:rFonts w:eastAsiaTheme="minorHAnsi"/>
          <w:noProof/>
          <w:color w:val="FF0000"/>
        </w:rPr>
        <w:drawing>
          <wp:anchor distT="0" distB="0" distL="114300" distR="114300" simplePos="0" relativeHeight="251658240" behindDoc="1" locked="0" layoutInCell="1" allowOverlap="1" wp14:anchorId="0F4B4A8C" wp14:editId="7D50E460">
            <wp:simplePos x="0" y="0"/>
            <wp:positionH relativeFrom="margin">
              <wp:posOffset>-7563704</wp:posOffset>
            </wp:positionH>
            <wp:positionV relativeFrom="paragraph">
              <wp:posOffset>-532765</wp:posOffset>
            </wp:positionV>
            <wp:extent cx="18481040" cy="10670224"/>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ngesedler reserve.jpg"/>
                    <pic:cNvPicPr/>
                  </pic:nvPicPr>
                  <pic:blipFill>
                    <a:blip r:embed="rId11">
                      <a:extLst>
                        <a:ext uri="{28A0092B-C50C-407E-A947-70E740481C1C}">
                          <a14:useLocalDpi xmlns:a14="http://schemas.microsoft.com/office/drawing/2010/main" val="0"/>
                        </a:ext>
                      </a:extLst>
                    </a:blip>
                    <a:stretch>
                      <a:fillRect/>
                    </a:stretch>
                  </pic:blipFill>
                  <pic:spPr>
                    <a:xfrm>
                      <a:off x="0" y="0"/>
                      <a:ext cx="18481040" cy="10670224"/>
                    </a:xfrm>
                    <a:prstGeom prst="rect">
                      <a:avLst/>
                    </a:prstGeom>
                  </pic:spPr>
                </pic:pic>
              </a:graphicData>
            </a:graphic>
            <wp14:sizeRelH relativeFrom="margin">
              <wp14:pctWidth>0</wp14:pctWidth>
            </wp14:sizeRelH>
            <wp14:sizeRelV relativeFrom="margin">
              <wp14:pctHeight>0</wp14:pctHeight>
            </wp14:sizeRelV>
          </wp:anchor>
        </w:drawing>
      </w:r>
      <w:r w:rsidR="004F69E8" w:rsidRPr="00C15B55">
        <w:rPr>
          <w:rFonts w:eastAsiaTheme="minorHAnsi"/>
          <w:color w:val="FF0000"/>
          <w:lang w:eastAsia="en-US"/>
        </w:rPr>
        <w:tab/>
      </w:r>
    </w:p>
    <w:sdt>
      <w:sdtPr>
        <w:rPr>
          <w:color w:val="FF0000"/>
        </w:rPr>
        <w:id w:val="-130639426"/>
        <w:docPartObj>
          <w:docPartGallery w:val="Table of Contents"/>
          <w:docPartUnique/>
        </w:docPartObj>
      </w:sdtPr>
      <w:sdtEndPr/>
      <w:sdtContent>
        <w:p w14:paraId="6178EBA1" w14:textId="77777777" w:rsidR="006256EE" w:rsidRPr="00613A47" w:rsidRDefault="00D25D42" w:rsidP="000A4885">
          <w:pPr>
            <w:rPr>
              <w:rStyle w:val="Overskrift2Tegn"/>
              <w:rFonts w:eastAsiaTheme="minorHAnsi"/>
            </w:rPr>
          </w:pPr>
          <w:r w:rsidRPr="00613A47">
            <w:rPr>
              <w:rStyle w:val="Overskrift2Tegn"/>
              <w:rFonts w:eastAsiaTheme="minorHAnsi"/>
            </w:rPr>
            <w:t>Indhold</w:t>
          </w:r>
        </w:p>
        <w:p w14:paraId="454DCBEC" w14:textId="4B5EB8C7" w:rsidR="00442D00" w:rsidRPr="00442D00" w:rsidRDefault="000B7FC2">
          <w:pPr>
            <w:pStyle w:val="Indholdsfortegnelse1"/>
            <w:rPr>
              <w:rFonts w:asciiTheme="minorHAnsi" w:eastAsiaTheme="minorEastAsia" w:hAnsiTheme="minorHAnsi"/>
              <w:b w:val="0"/>
              <w:bCs/>
              <w:color w:val="auto"/>
              <w:kern w:val="2"/>
              <w:sz w:val="24"/>
              <w:szCs w:val="24"/>
              <w:shd w:val="clear" w:color="auto" w:fill="auto"/>
              <w:lang w:eastAsia="da-DK"/>
              <w14:ligatures w14:val="standardContextual"/>
            </w:rPr>
          </w:pPr>
          <w:r w:rsidRPr="00442D00">
            <w:rPr>
              <w:b w:val="0"/>
              <w:bCs/>
              <w:color w:val="FF0000"/>
            </w:rPr>
            <w:fldChar w:fldCharType="begin"/>
          </w:r>
          <w:r w:rsidRPr="00442D00">
            <w:rPr>
              <w:b w:val="0"/>
              <w:bCs/>
              <w:color w:val="FF0000"/>
            </w:rPr>
            <w:instrText xml:space="preserve"> TOC \o "1-2" \h \z \u </w:instrText>
          </w:r>
          <w:r w:rsidRPr="00442D00">
            <w:rPr>
              <w:b w:val="0"/>
              <w:bCs/>
              <w:color w:val="FF0000"/>
            </w:rPr>
            <w:fldChar w:fldCharType="separate"/>
          </w:r>
          <w:hyperlink w:anchor="_Toc212451854" w:history="1">
            <w:r w:rsidR="00442D00" w:rsidRPr="00442D00">
              <w:rPr>
                <w:rStyle w:val="Hyperlink"/>
                <w:b w:val="0"/>
                <w:bCs/>
              </w:rPr>
              <w:t>Finansiering i budget 2026-2029</w:t>
            </w:r>
            <w:r w:rsidR="00442D00" w:rsidRPr="00442D00">
              <w:rPr>
                <w:b w:val="0"/>
                <w:bCs/>
                <w:webHidden/>
              </w:rPr>
              <w:tab/>
            </w:r>
            <w:r w:rsidR="00442D00" w:rsidRPr="00442D00">
              <w:rPr>
                <w:b w:val="0"/>
                <w:bCs/>
                <w:webHidden/>
              </w:rPr>
              <w:fldChar w:fldCharType="begin"/>
            </w:r>
            <w:r w:rsidR="00442D00" w:rsidRPr="00442D00">
              <w:rPr>
                <w:b w:val="0"/>
                <w:bCs/>
                <w:webHidden/>
              </w:rPr>
              <w:instrText xml:space="preserve"> PAGEREF _Toc212451854 \h </w:instrText>
            </w:r>
            <w:r w:rsidR="00442D00" w:rsidRPr="00442D00">
              <w:rPr>
                <w:b w:val="0"/>
                <w:bCs/>
                <w:webHidden/>
              </w:rPr>
            </w:r>
            <w:r w:rsidR="00442D00" w:rsidRPr="00442D00">
              <w:rPr>
                <w:b w:val="0"/>
                <w:bCs/>
                <w:webHidden/>
              </w:rPr>
              <w:fldChar w:fldCharType="separate"/>
            </w:r>
            <w:r w:rsidR="00442D00" w:rsidRPr="00442D00">
              <w:rPr>
                <w:b w:val="0"/>
                <w:bCs/>
                <w:webHidden/>
              </w:rPr>
              <w:t>3</w:t>
            </w:r>
            <w:r w:rsidR="00442D00" w:rsidRPr="00442D00">
              <w:rPr>
                <w:b w:val="0"/>
                <w:bCs/>
                <w:webHidden/>
              </w:rPr>
              <w:fldChar w:fldCharType="end"/>
            </w:r>
          </w:hyperlink>
        </w:p>
        <w:p w14:paraId="5494FCF1" w14:textId="331CF4D8"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55" w:history="1">
            <w:r w:rsidRPr="00442D00">
              <w:rPr>
                <w:rStyle w:val="Hyperlink"/>
                <w:rFonts w:eastAsia="Verdana"/>
                <w:b w:val="0"/>
                <w:bCs/>
              </w:rPr>
              <w:t>Ressourcer</w:t>
            </w:r>
            <w:r w:rsidRPr="00442D00">
              <w:rPr>
                <w:b w:val="0"/>
                <w:bCs/>
                <w:webHidden/>
              </w:rPr>
              <w:tab/>
            </w:r>
            <w:r w:rsidRPr="00442D00">
              <w:rPr>
                <w:b w:val="0"/>
                <w:bCs/>
                <w:webHidden/>
              </w:rPr>
              <w:fldChar w:fldCharType="begin"/>
            </w:r>
            <w:r w:rsidRPr="00442D00">
              <w:rPr>
                <w:b w:val="0"/>
                <w:bCs/>
                <w:webHidden/>
              </w:rPr>
              <w:instrText xml:space="preserve"> PAGEREF _Toc212451855 \h </w:instrText>
            </w:r>
            <w:r w:rsidRPr="00442D00">
              <w:rPr>
                <w:b w:val="0"/>
                <w:bCs/>
                <w:webHidden/>
              </w:rPr>
            </w:r>
            <w:r w:rsidRPr="00442D00">
              <w:rPr>
                <w:b w:val="0"/>
                <w:bCs/>
                <w:webHidden/>
              </w:rPr>
              <w:fldChar w:fldCharType="separate"/>
            </w:r>
            <w:r w:rsidRPr="00442D00">
              <w:rPr>
                <w:b w:val="0"/>
                <w:bCs/>
                <w:webHidden/>
              </w:rPr>
              <w:t>3</w:t>
            </w:r>
            <w:r w:rsidRPr="00442D00">
              <w:rPr>
                <w:b w:val="0"/>
                <w:bCs/>
                <w:webHidden/>
              </w:rPr>
              <w:fldChar w:fldCharType="end"/>
            </w:r>
          </w:hyperlink>
        </w:p>
        <w:p w14:paraId="72B88C14" w14:textId="3B099EA9" w:rsidR="00442D00" w:rsidRPr="00442D00" w:rsidRDefault="00442D00">
          <w:pPr>
            <w:pStyle w:val="Indholdsfortegnelse1"/>
            <w:rPr>
              <w:rFonts w:asciiTheme="minorHAnsi" w:eastAsiaTheme="minorEastAsia" w:hAnsiTheme="minorHAnsi"/>
              <w:b w:val="0"/>
              <w:bCs/>
              <w:color w:val="auto"/>
              <w:kern w:val="2"/>
              <w:sz w:val="24"/>
              <w:szCs w:val="24"/>
              <w:shd w:val="clear" w:color="auto" w:fill="auto"/>
              <w:lang w:eastAsia="da-DK"/>
              <w14:ligatures w14:val="standardContextual"/>
            </w:rPr>
          </w:pPr>
          <w:hyperlink w:anchor="_Toc212451856" w:history="1">
            <w:r w:rsidRPr="00442D00">
              <w:rPr>
                <w:rStyle w:val="Hyperlink"/>
                <w:b w:val="0"/>
                <w:bCs/>
              </w:rPr>
              <w:t>Renter</w:t>
            </w:r>
            <w:r w:rsidRPr="00442D00">
              <w:rPr>
                <w:b w:val="0"/>
                <w:bCs/>
                <w:webHidden/>
              </w:rPr>
              <w:tab/>
            </w:r>
            <w:r w:rsidRPr="00442D00">
              <w:rPr>
                <w:b w:val="0"/>
                <w:bCs/>
                <w:webHidden/>
              </w:rPr>
              <w:fldChar w:fldCharType="begin"/>
            </w:r>
            <w:r w:rsidRPr="00442D00">
              <w:rPr>
                <w:b w:val="0"/>
                <w:bCs/>
                <w:webHidden/>
              </w:rPr>
              <w:instrText xml:space="preserve"> PAGEREF _Toc212451856 \h </w:instrText>
            </w:r>
            <w:r w:rsidRPr="00442D00">
              <w:rPr>
                <w:b w:val="0"/>
                <w:bCs/>
                <w:webHidden/>
              </w:rPr>
            </w:r>
            <w:r w:rsidRPr="00442D00">
              <w:rPr>
                <w:b w:val="0"/>
                <w:bCs/>
                <w:webHidden/>
              </w:rPr>
              <w:fldChar w:fldCharType="separate"/>
            </w:r>
            <w:r w:rsidRPr="00442D00">
              <w:rPr>
                <w:b w:val="0"/>
                <w:bCs/>
                <w:webHidden/>
              </w:rPr>
              <w:t>3</w:t>
            </w:r>
            <w:r w:rsidRPr="00442D00">
              <w:rPr>
                <w:b w:val="0"/>
                <w:bCs/>
                <w:webHidden/>
              </w:rPr>
              <w:fldChar w:fldCharType="end"/>
            </w:r>
          </w:hyperlink>
        </w:p>
        <w:p w14:paraId="2CE2D600" w14:textId="7981AEB5" w:rsidR="00442D00" w:rsidRPr="00442D00" w:rsidRDefault="00442D00">
          <w:pPr>
            <w:pStyle w:val="Indholdsfortegnelse1"/>
            <w:rPr>
              <w:rFonts w:asciiTheme="minorHAnsi" w:eastAsiaTheme="minorEastAsia" w:hAnsiTheme="minorHAnsi"/>
              <w:b w:val="0"/>
              <w:bCs/>
              <w:color w:val="auto"/>
              <w:kern w:val="2"/>
              <w:sz w:val="24"/>
              <w:szCs w:val="24"/>
              <w:shd w:val="clear" w:color="auto" w:fill="auto"/>
              <w:lang w:eastAsia="da-DK"/>
              <w14:ligatures w14:val="standardContextual"/>
            </w:rPr>
          </w:pPr>
          <w:hyperlink w:anchor="_Toc212451857" w:history="1">
            <w:r w:rsidRPr="00442D00">
              <w:rPr>
                <w:rStyle w:val="Hyperlink"/>
                <w:b w:val="0"/>
                <w:bCs/>
              </w:rPr>
              <w:t>Skat</w:t>
            </w:r>
            <w:r w:rsidRPr="00442D00">
              <w:rPr>
                <w:b w:val="0"/>
                <w:bCs/>
                <w:webHidden/>
              </w:rPr>
              <w:tab/>
            </w:r>
            <w:r w:rsidRPr="00442D00">
              <w:rPr>
                <w:b w:val="0"/>
                <w:bCs/>
                <w:webHidden/>
              </w:rPr>
              <w:fldChar w:fldCharType="begin"/>
            </w:r>
            <w:r w:rsidRPr="00442D00">
              <w:rPr>
                <w:b w:val="0"/>
                <w:bCs/>
                <w:webHidden/>
              </w:rPr>
              <w:instrText xml:space="preserve"> PAGEREF _Toc212451857 \h </w:instrText>
            </w:r>
            <w:r w:rsidRPr="00442D00">
              <w:rPr>
                <w:b w:val="0"/>
                <w:bCs/>
                <w:webHidden/>
              </w:rPr>
            </w:r>
            <w:r w:rsidRPr="00442D00">
              <w:rPr>
                <w:b w:val="0"/>
                <w:bCs/>
                <w:webHidden/>
              </w:rPr>
              <w:fldChar w:fldCharType="separate"/>
            </w:r>
            <w:r w:rsidRPr="00442D00">
              <w:rPr>
                <w:b w:val="0"/>
                <w:bCs/>
                <w:webHidden/>
              </w:rPr>
              <w:t>4</w:t>
            </w:r>
            <w:r w:rsidRPr="00442D00">
              <w:rPr>
                <w:b w:val="0"/>
                <w:bCs/>
                <w:webHidden/>
              </w:rPr>
              <w:fldChar w:fldCharType="end"/>
            </w:r>
          </w:hyperlink>
        </w:p>
        <w:p w14:paraId="153885DC" w14:textId="610B87C1"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58" w:history="1">
            <w:r w:rsidRPr="00442D00">
              <w:rPr>
                <w:rStyle w:val="Hyperlink"/>
                <w:rFonts w:eastAsia="Verdana"/>
                <w:b w:val="0"/>
                <w:bCs/>
              </w:rPr>
              <w:t>Indkomstskat</w:t>
            </w:r>
            <w:r w:rsidRPr="00442D00">
              <w:rPr>
                <w:b w:val="0"/>
                <w:bCs/>
                <w:webHidden/>
              </w:rPr>
              <w:tab/>
            </w:r>
            <w:r w:rsidRPr="00442D00">
              <w:rPr>
                <w:b w:val="0"/>
                <w:bCs/>
                <w:webHidden/>
              </w:rPr>
              <w:fldChar w:fldCharType="begin"/>
            </w:r>
            <w:r w:rsidRPr="00442D00">
              <w:rPr>
                <w:b w:val="0"/>
                <w:bCs/>
                <w:webHidden/>
              </w:rPr>
              <w:instrText xml:space="preserve"> PAGEREF _Toc212451858 \h </w:instrText>
            </w:r>
            <w:r w:rsidRPr="00442D00">
              <w:rPr>
                <w:b w:val="0"/>
                <w:bCs/>
                <w:webHidden/>
              </w:rPr>
            </w:r>
            <w:r w:rsidRPr="00442D00">
              <w:rPr>
                <w:b w:val="0"/>
                <w:bCs/>
                <w:webHidden/>
              </w:rPr>
              <w:fldChar w:fldCharType="separate"/>
            </w:r>
            <w:r w:rsidRPr="00442D00">
              <w:rPr>
                <w:b w:val="0"/>
                <w:bCs/>
                <w:webHidden/>
              </w:rPr>
              <w:t>4</w:t>
            </w:r>
            <w:r w:rsidRPr="00442D00">
              <w:rPr>
                <w:b w:val="0"/>
                <w:bCs/>
                <w:webHidden/>
              </w:rPr>
              <w:fldChar w:fldCharType="end"/>
            </w:r>
          </w:hyperlink>
        </w:p>
        <w:p w14:paraId="347403D1" w14:textId="1ADDEC1B"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59" w:history="1">
            <w:r w:rsidRPr="00442D00">
              <w:rPr>
                <w:rStyle w:val="Hyperlink"/>
                <w:b w:val="0"/>
                <w:bCs/>
              </w:rPr>
              <w:t>Ejendomsskat</w:t>
            </w:r>
            <w:r w:rsidRPr="00442D00">
              <w:rPr>
                <w:b w:val="0"/>
                <w:bCs/>
                <w:webHidden/>
              </w:rPr>
              <w:tab/>
            </w:r>
            <w:r w:rsidRPr="00442D00">
              <w:rPr>
                <w:b w:val="0"/>
                <w:bCs/>
                <w:webHidden/>
              </w:rPr>
              <w:fldChar w:fldCharType="begin"/>
            </w:r>
            <w:r w:rsidRPr="00442D00">
              <w:rPr>
                <w:b w:val="0"/>
                <w:bCs/>
                <w:webHidden/>
              </w:rPr>
              <w:instrText xml:space="preserve"> PAGEREF _Toc212451859 \h </w:instrText>
            </w:r>
            <w:r w:rsidRPr="00442D00">
              <w:rPr>
                <w:b w:val="0"/>
                <w:bCs/>
                <w:webHidden/>
              </w:rPr>
            </w:r>
            <w:r w:rsidRPr="00442D00">
              <w:rPr>
                <w:b w:val="0"/>
                <w:bCs/>
                <w:webHidden/>
              </w:rPr>
              <w:fldChar w:fldCharType="separate"/>
            </w:r>
            <w:r w:rsidRPr="00442D00">
              <w:rPr>
                <w:b w:val="0"/>
                <w:bCs/>
                <w:webHidden/>
              </w:rPr>
              <w:t>6</w:t>
            </w:r>
            <w:r w:rsidRPr="00442D00">
              <w:rPr>
                <w:b w:val="0"/>
                <w:bCs/>
                <w:webHidden/>
              </w:rPr>
              <w:fldChar w:fldCharType="end"/>
            </w:r>
          </w:hyperlink>
        </w:p>
        <w:p w14:paraId="61C339EC" w14:textId="74C9FA18"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60" w:history="1">
            <w:r w:rsidRPr="00442D00">
              <w:rPr>
                <w:rStyle w:val="Hyperlink"/>
                <w:b w:val="0"/>
                <w:bCs/>
              </w:rPr>
              <w:t>Selskabsskat</w:t>
            </w:r>
            <w:r w:rsidRPr="00442D00">
              <w:rPr>
                <w:b w:val="0"/>
                <w:bCs/>
                <w:webHidden/>
              </w:rPr>
              <w:tab/>
            </w:r>
            <w:r w:rsidRPr="00442D00">
              <w:rPr>
                <w:b w:val="0"/>
                <w:bCs/>
                <w:webHidden/>
              </w:rPr>
              <w:fldChar w:fldCharType="begin"/>
            </w:r>
            <w:r w:rsidRPr="00442D00">
              <w:rPr>
                <w:b w:val="0"/>
                <w:bCs/>
                <w:webHidden/>
              </w:rPr>
              <w:instrText xml:space="preserve"> PAGEREF _Toc212451860 \h </w:instrText>
            </w:r>
            <w:r w:rsidRPr="00442D00">
              <w:rPr>
                <w:b w:val="0"/>
                <w:bCs/>
                <w:webHidden/>
              </w:rPr>
            </w:r>
            <w:r w:rsidRPr="00442D00">
              <w:rPr>
                <w:b w:val="0"/>
                <w:bCs/>
                <w:webHidden/>
              </w:rPr>
              <w:fldChar w:fldCharType="separate"/>
            </w:r>
            <w:r w:rsidRPr="00442D00">
              <w:rPr>
                <w:b w:val="0"/>
                <w:bCs/>
                <w:webHidden/>
              </w:rPr>
              <w:t>8</w:t>
            </w:r>
            <w:r w:rsidRPr="00442D00">
              <w:rPr>
                <w:b w:val="0"/>
                <w:bCs/>
                <w:webHidden/>
              </w:rPr>
              <w:fldChar w:fldCharType="end"/>
            </w:r>
          </w:hyperlink>
        </w:p>
        <w:p w14:paraId="1991FA23" w14:textId="3E3C227B"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61" w:history="1">
            <w:r w:rsidRPr="00442D00">
              <w:rPr>
                <w:rStyle w:val="Hyperlink"/>
                <w:b w:val="0"/>
                <w:bCs/>
              </w:rPr>
              <w:t>Overblik over skatter i budget 2026-2029</w:t>
            </w:r>
            <w:r w:rsidRPr="00442D00">
              <w:rPr>
                <w:b w:val="0"/>
                <w:bCs/>
                <w:webHidden/>
              </w:rPr>
              <w:tab/>
            </w:r>
            <w:r w:rsidRPr="00442D00">
              <w:rPr>
                <w:b w:val="0"/>
                <w:bCs/>
                <w:webHidden/>
              </w:rPr>
              <w:fldChar w:fldCharType="begin"/>
            </w:r>
            <w:r w:rsidRPr="00442D00">
              <w:rPr>
                <w:b w:val="0"/>
                <w:bCs/>
                <w:webHidden/>
              </w:rPr>
              <w:instrText xml:space="preserve"> PAGEREF _Toc212451861 \h </w:instrText>
            </w:r>
            <w:r w:rsidRPr="00442D00">
              <w:rPr>
                <w:b w:val="0"/>
                <w:bCs/>
                <w:webHidden/>
              </w:rPr>
            </w:r>
            <w:r w:rsidRPr="00442D00">
              <w:rPr>
                <w:b w:val="0"/>
                <w:bCs/>
                <w:webHidden/>
              </w:rPr>
              <w:fldChar w:fldCharType="separate"/>
            </w:r>
            <w:r w:rsidRPr="00442D00">
              <w:rPr>
                <w:b w:val="0"/>
                <w:bCs/>
                <w:webHidden/>
              </w:rPr>
              <w:t>8</w:t>
            </w:r>
            <w:r w:rsidRPr="00442D00">
              <w:rPr>
                <w:b w:val="0"/>
                <w:bCs/>
                <w:webHidden/>
              </w:rPr>
              <w:fldChar w:fldCharType="end"/>
            </w:r>
          </w:hyperlink>
        </w:p>
        <w:p w14:paraId="1035DDAB" w14:textId="38D2739F" w:rsidR="00442D00" w:rsidRPr="00442D00" w:rsidRDefault="00442D00">
          <w:pPr>
            <w:pStyle w:val="Indholdsfortegnelse1"/>
            <w:rPr>
              <w:rFonts w:asciiTheme="minorHAnsi" w:eastAsiaTheme="minorEastAsia" w:hAnsiTheme="minorHAnsi"/>
              <w:b w:val="0"/>
              <w:bCs/>
              <w:color w:val="auto"/>
              <w:kern w:val="2"/>
              <w:sz w:val="24"/>
              <w:szCs w:val="24"/>
              <w:shd w:val="clear" w:color="auto" w:fill="auto"/>
              <w:lang w:eastAsia="da-DK"/>
              <w14:ligatures w14:val="standardContextual"/>
            </w:rPr>
          </w:pPr>
          <w:hyperlink w:anchor="_Toc212451862" w:history="1">
            <w:r w:rsidRPr="00442D00">
              <w:rPr>
                <w:rStyle w:val="Hyperlink"/>
                <w:b w:val="0"/>
                <w:bCs/>
              </w:rPr>
              <w:t>Generelle tilskud og udligning</w:t>
            </w:r>
            <w:r w:rsidRPr="00442D00">
              <w:rPr>
                <w:b w:val="0"/>
                <w:bCs/>
                <w:webHidden/>
              </w:rPr>
              <w:tab/>
            </w:r>
            <w:r w:rsidRPr="00442D00">
              <w:rPr>
                <w:b w:val="0"/>
                <w:bCs/>
                <w:webHidden/>
              </w:rPr>
              <w:fldChar w:fldCharType="begin"/>
            </w:r>
            <w:r w:rsidRPr="00442D00">
              <w:rPr>
                <w:b w:val="0"/>
                <w:bCs/>
                <w:webHidden/>
              </w:rPr>
              <w:instrText xml:space="preserve"> PAGEREF _Toc212451862 \h </w:instrText>
            </w:r>
            <w:r w:rsidRPr="00442D00">
              <w:rPr>
                <w:b w:val="0"/>
                <w:bCs/>
                <w:webHidden/>
              </w:rPr>
            </w:r>
            <w:r w:rsidRPr="00442D00">
              <w:rPr>
                <w:b w:val="0"/>
                <w:bCs/>
                <w:webHidden/>
              </w:rPr>
              <w:fldChar w:fldCharType="separate"/>
            </w:r>
            <w:r w:rsidRPr="00442D00">
              <w:rPr>
                <w:b w:val="0"/>
                <w:bCs/>
                <w:webHidden/>
              </w:rPr>
              <w:t>9</w:t>
            </w:r>
            <w:r w:rsidRPr="00442D00">
              <w:rPr>
                <w:b w:val="0"/>
                <w:bCs/>
                <w:webHidden/>
              </w:rPr>
              <w:fldChar w:fldCharType="end"/>
            </w:r>
          </w:hyperlink>
        </w:p>
        <w:p w14:paraId="7D85B180" w14:textId="323F6A02"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63" w:history="1">
            <w:r w:rsidRPr="00442D00">
              <w:rPr>
                <w:rStyle w:val="Hyperlink"/>
                <w:b w:val="0"/>
                <w:bCs/>
              </w:rPr>
              <w:t>Tilskuds- og udligningssystemet</w:t>
            </w:r>
            <w:r w:rsidRPr="00442D00">
              <w:rPr>
                <w:b w:val="0"/>
                <w:bCs/>
                <w:webHidden/>
              </w:rPr>
              <w:tab/>
            </w:r>
            <w:r w:rsidRPr="00442D00">
              <w:rPr>
                <w:b w:val="0"/>
                <w:bCs/>
                <w:webHidden/>
              </w:rPr>
              <w:fldChar w:fldCharType="begin"/>
            </w:r>
            <w:r w:rsidRPr="00442D00">
              <w:rPr>
                <w:b w:val="0"/>
                <w:bCs/>
                <w:webHidden/>
              </w:rPr>
              <w:instrText xml:space="preserve"> PAGEREF _Toc212451863 \h </w:instrText>
            </w:r>
            <w:r w:rsidRPr="00442D00">
              <w:rPr>
                <w:b w:val="0"/>
                <w:bCs/>
                <w:webHidden/>
              </w:rPr>
            </w:r>
            <w:r w:rsidRPr="00442D00">
              <w:rPr>
                <w:b w:val="0"/>
                <w:bCs/>
                <w:webHidden/>
              </w:rPr>
              <w:fldChar w:fldCharType="separate"/>
            </w:r>
            <w:r w:rsidRPr="00442D00">
              <w:rPr>
                <w:b w:val="0"/>
                <w:bCs/>
                <w:webHidden/>
              </w:rPr>
              <w:t>9</w:t>
            </w:r>
            <w:r w:rsidRPr="00442D00">
              <w:rPr>
                <w:b w:val="0"/>
                <w:bCs/>
                <w:webHidden/>
              </w:rPr>
              <w:fldChar w:fldCharType="end"/>
            </w:r>
          </w:hyperlink>
        </w:p>
        <w:p w14:paraId="0CF7672D" w14:textId="39A5C1DF"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64" w:history="1">
            <w:r w:rsidRPr="00442D00">
              <w:rPr>
                <w:rStyle w:val="Hyperlink"/>
                <w:b w:val="0"/>
                <w:bCs/>
              </w:rPr>
              <w:t>Budgetteringsmetode i Aarhus Kommune</w:t>
            </w:r>
            <w:r w:rsidRPr="00442D00">
              <w:rPr>
                <w:b w:val="0"/>
                <w:bCs/>
                <w:webHidden/>
              </w:rPr>
              <w:tab/>
            </w:r>
            <w:r w:rsidRPr="00442D00">
              <w:rPr>
                <w:b w:val="0"/>
                <w:bCs/>
                <w:webHidden/>
              </w:rPr>
              <w:fldChar w:fldCharType="begin"/>
            </w:r>
            <w:r w:rsidRPr="00442D00">
              <w:rPr>
                <w:b w:val="0"/>
                <w:bCs/>
                <w:webHidden/>
              </w:rPr>
              <w:instrText xml:space="preserve"> PAGEREF _Toc212451864 \h </w:instrText>
            </w:r>
            <w:r w:rsidRPr="00442D00">
              <w:rPr>
                <w:b w:val="0"/>
                <w:bCs/>
                <w:webHidden/>
              </w:rPr>
            </w:r>
            <w:r w:rsidRPr="00442D00">
              <w:rPr>
                <w:b w:val="0"/>
                <w:bCs/>
                <w:webHidden/>
              </w:rPr>
              <w:fldChar w:fldCharType="separate"/>
            </w:r>
            <w:r w:rsidRPr="00442D00">
              <w:rPr>
                <w:b w:val="0"/>
                <w:bCs/>
                <w:webHidden/>
              </w:rPr>
              <w:t>11</w:t>
            </w:r>
            <w:r w:rsidRPr="00442D00">
              <w:rPr>
                <w:b w:val="0"/>
                <w:bCs/>
                <w:webHidden/>
              </w:rPr>
              <w:fldChar w:fldCharType="end"/>
            </w:r>
          </w:hyperlink>
        </w:p>
        <w:p w14:paraId="0A3DDD94" w14:textId="7990870E"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65" w:history="1">
            <w:r w:rsidRPr="00442D00">
              <w:rPr>
                <w:rStyle w:val="Hyperlink"/>
                <w:b w:val="0"/>
                <w:bCs/>
              </w:rPr>
              <w:t>Overblik over generelle tilskud i budget 2026-2029</w:t>
            </w:r>
            <w:r w:rsidRPr="00442D00">
              <w:rPr>
                <w:b w:val="0"/>
                <w:bCs/>
                <w:webHidden/>
              </w:rPr>
              <w:tab/>
            </w:r>
            <w:r w:rsidRPr="00442D00">
              <w:rPr>
                <w:b w:val="0"/>
                <w:bCs/>
                <w:webHidden/>
              </w:rPr>
              <w:fldChar w:fldCharType="begin"/>
            </w:r>
            <w:r w:rsidRPr="00442D00">
              <w:rPr>
                <w:b w:val="0"/>
                <w:bCs/>
                <w:webHidden/>
              </w:rPr>
              <w:instrText xml:space="preserve"> PAGEREF _Toc212451865 \h </w:instrText>
            </w:r>
            <w:r w:rsidRPr="00442D00">
              <w:rPr>
                <w:b w:val="0"/>
                <w:bCs/>
                <w:webHidden/>
              </w:rPr>
            </w:r>
            <w:r w:rsidRPr="00442D00">
              <w:rPr>
                <w:b w:val="0"/>
                <w:bCs/>
                <w:webHidden/>
              </w:rPr>
              <w:fldChar w:fldCharType="separate"/>
            </w:r>
            <w:r w:rsidRPr="00442D00">
              <w:rPr>
                <w:b w:val="0"/>
                <w:bCs/>
                <w:webHidden/>
              </w:rPr>
              <w:t>13</w:t>
            </w:r>
            <w:r w:rsidRPr="00442D00">
              <w:rPr>
                <w:b w:val="0"/>
                <w:bCs/>
                <w:webHidden/>
              </w:rPr>
              <w:fldChar w:fldCharType="end"/>
            </w:r>
          </w:hyperlink>
        </w:p>
        <w:p w14:paraId="026A1B09" w14:textId="0C1E8041" w:rsidR="00442D00" w:rsidRPr="00442D00" w:rsidRDefault="00442D00">
          <w:pPr>
            <w:pStyle w:val="Indholdsfortegnelse1"/>
            <w:rPr>
              <w:rFonts w:asciiTheme="minorHAnsi" w:eastAsiaTheme="minorEastAsia" w:hAnsiTheme="minorHAnsi"/>
              <w:b w:val="0"/>
              <w:bCs/>
              <w:color w:val="auto"/>
              <w:kern w:val="2"/>
              <w:sz w:val="24"/>
              <w:szCs w:val="24"/>
              <w:shd w:val="clear" w:color="auto" w:fill="auto"/>
              <w:lang w:eastAsia="da-DK"/>
              <w14:ligatures w14:val="standardContextual"/>
            </w:rPr>
          </w:pPr>
          <w:hyperlink w:anchor="_Toc212451866" w:history="1">
            <w:r w:rsidRPr="00442D00">
              <w:rPr>
                <w:rStyle w:val="Hyperlink"/>
                <w:b w:val="0"/>
                <w:bCs/>
              </w:rPr>
              <w:t>Finansforskydninger</w:t>
            </w:r>
            <w:r w:rsidRPr="00442D00">
              <w:rPr>
                <w:b w:val="0"/>
                <w:bCs/>
                <w:webHidden/>
              </w:rPr>
              <w:tab/>
            </w:r>
            <w:r w:rsidRPr="00442D00">
              <w:rPr>
                <w:b w:val="0"/>
                <w:bCs/>
                <w:webHidden/>
              </w:rPr>
              <w:fldChar w:fldCharType="begin"/>
            </w:r>
            <w:r w:rsidRPr="00442D00">
              <w:rPr>
                <w:b w:val="0"/>
                <w:bCs/>
                <w:webHidden/>
              </w:rPr>
              <w:instrText xml:space="preserve"> PAGEREF _Toc212451866 \h </w:instrText>
            </w:r>
            <w:r w:rsidRPr="00442D00">
              <w:rPr>
                <w:b w:val="0"/>
                <w:bCs/>
                <w:webHidden/>
              </w:rPr>
            </w:r>
            <w:r w:rsidRPr="00442D00">
              <w:rPr>
                <w:b w:val="0"/>
                <w:bCs/>
                <w:webHidden/>
              </w:rPr>
              <w:fldChar w:fldCharType="separate"/>
            </w:r>
            <w:r w:rsidRPr="00442D00">
              <w:rPr>
                <w:b w:val="0"/>
                <w:bCs/>
                <w:webHidden/>
              </w:rPr>
              <w:t>13</w:t>
            </w:r>
            <w:r w:rsidRPr="00442D00">
              <w:rPr>
                <w:b w:val="0"/>
                <w:bCs/>
                <w:webHidden/>
              </w:rPr>
              <w:fldChar w:fldCharType="end"/>
            </w:r>
          </w:hyperlink>
        </w:p>
        <w:p w14:paraId="3B9BD873" w14:textId="50756542"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67" w:history="1">
            <w:r w:rsidRPr="00442D00">
              <w:rPr>
                <w:rStyle w:val="Hyperlink"/>
                <w:b w:val="0"/>
                <w:bCs/>
              </w:rPr>
              <w:t>Forskydninger i likvide aktiver</w:t>
            </w:r>
            <w:r w:rsidRPr="00442D00">
              <w:rPr>
                <w:b w:val="0"/>
                <w:bCs/>
                <w:webHidden/>
              </w:rPr>
              <w:tab/>
            </w:r>
            <w:r w:rsidRPr="00442D00">
              <w:rPr>
                <w:b w:val="0"/>
                <w:bCs/>
                <w:webHidden/>
              </w:rPr>
              <w:fldChar w:fldCharType="begin"/>
            </w:r>
            <w:r w:rsidRPr="00442D00">
              <w:rPr>
                <w:b w:val="0"/>
                <w:bCs/>
                <w:webHidden/>
              </w:rPr>
              <w:instrText xml:space="preserve"> PAGEREF _Toc212451867 \h </w:instrText>
            </w:r>
            <w:r w:rsidRPr="00442D00">
              <w:rPr>
                <w:b w:val="0"/>
                <w:bCs/>
                <w:webHidden/>
              </w:rPr>
            </w:r>
            <w:r w:rsidRPr="00442D00">
              <w:rPr>
                <w:b w:val="0"/>
                <w:bCs/>
                <w:webHidden/>
              </w:rPr>
              <w:fldChar w:fldCharType="separate"/>
            </w:r>
            <w:r w:rsidRPr="00442D00">
              <w:rPr>
                <w:b w:val="0"/>
                <w:bCs/>
                <w:webHidden/>
              </w:rPr>
              <w:t>15</w:t>
            </w:r>
            <w:r w:rsidRPr="00442D00">
              <w:rPr>
                <w:b w:val="0"/>
                <w:bCs/>
                <w:webHidden/>
              </w:rPr>
              <w:fldChar w:fldCharType="end"/>
            </w:r>
          </w:hyperlink>
        </w:p>
        <w:p w14:paraId="64CB85C0" w14:textId="06736B81" w:rsidR="00442D00" w:rsidRPr="00442D00" w:rsidRDefault="00442D00">
          <w:pPr>
            <w:pStyle w:val="Indholdsfortegnelse2"/>
            <w:rPr>
              <w:rFonts w:asciiTheme="minorHAnsi" w:eastAsiaTheme="minorEastAsia" w:hAnsiTheme="minorHAnsi" w:cstheme="minorBidi"/>
              <w:b w:val="0"/>
              <w:bCs/>
              <w:color w:val="auto"/>
              <w:kern w:val="2"/>
              <w:sz w:val="24"/>
              <w:szCs w:val="24"/>
              <w:lang w:eastAsia="da-DK"/>
              <w14:ligatures w14:val="standardContextual"/>
            </w:rPr>
          </w:pPr>
          <w:hyperlink w:anchor="_Toc212451868" w:history="1">
            <w:r w:rsidRPr="00442D00">
              <w:rPr>
                <w:rStyle w:val="Hyperlink"/>
                <w:b w:val="0"/>
                <w:bCs/>
              </w:rPr>
              <w:t>Lån</w:t>
            </w:r>
            <w:r w:rsidRPr="00442D00">
              <w:rPr>
                <w:b w:val="0"/>
                <w:bCs/>
                <w:webHidden/>
              </w:rPr>
              <w:tab/>
            </w:r>
            <w:r w:rsidRPr="00442D00">
              <w:rPr>
                <w:b w:val="0"/>
                <w:bCs/>
                <w:webHidden/>
              </w:rPr>
              <w:fldChar w:fldCharType="begin"/>
            </w:r>
            <w:r w:rsidRPr="00442D00">
              <w:rPr>
                <w:b w:val="0"/>
                <w:bCs/>
                <w:webHidden/>
              </w:rPr>
              <w:instrText xml:space="preserve"> PAGEREF _Toc212451868 \h </w:instrText>
            </w:r>
            <w:r w:rsidRPr="00442D00">
              <w:rPr>
                <w:b w:val="0"/>
                <w:bCs/>
                <w:webHidden/>
              </w:rPr>
            </w:r>
            <w:r w:rsidRPr="00442D00">
              <w:rPr>
                <w:b w:val="0"/>
                <w:bCs/>
                <w:webHidden/>
              </w:rPr>
              <w:fldChar w:fldCharType="separate"/>
            </w:r>
            <w:r w:rsidRPr="00442D00">
              <w:rPr>
                <w:b w:val="0"/>
                <w:bCs/>
                <w:webHidden/>
              </w:rPr>
              <w:t>15</w:t>
            </w:r>
            <w:r w:rsidRPr="00442D00">
              <w:rPr>
                <w:b w:val="0"/>
                <w:bCs/>
                <w:webHidden/>
              </w:rPr>
              <w:fldChar w:fldCharType="end"/>
            </w:r>
          </w:hyperlink>
        </w:p>
        <w:p w14:paraId="6ED6FCA6" w14:textId="5425D3C8" w:rsidR="00442D00" w:rsidRPr="00442D00" w:rsidRDefault="00442D00" w:rsidP="00442D00">
          <w:pPr>
            <w:pStyle w:val="Indholdsfortegnelse2"/>
            <w:jc w:val="left"/>
            <w:rPr>
              <w:rFonts w:asciiTheme="minorHAnsi" w:eastAsiaTheme="minorEastAsia" w:hAnsiTheme="minorHAnsi" w:cstheme="minorBidi"/>
              <w:b w:val="0"/>
              <w:bCs/>
              <w:color w:val="auto"/>
              <w:kern w:val="2"/>
              <w:sz w:val="24"/>
              <w:szCs w:val="24"/>
              <w:lang w:eastAsia="da-DK"/>
              <w14:ligatures w14:val="standardContextual"/>
            </w:rPr>
          </w:pPr>
          <w:hyperlink w:anchor="_Toc212451869" w:history="1">
            <w:r w:rsidRPr="00442D00">
              <w:rPr>
                <w:rStyle w:val="Hyperlink"/>
                <w:b w:val="0"/>
                <w:bCs/>
              </w:rPr>
              <w:t>Forskydninger i langfristede tilgodehavender og øvrige finansforskydninger</w:t>
            </w:r>
            <w:r w:rsidRPr="00442D00">
              <w:rPr>
                <w:b w:val="0"/>
                <w:bCs/>
                <w:webHidden/>
              </w:rPr>
              <w:tab/>
            </w:r>
            <w:r w:rsidRPr="00442D00">
              <w:rPr>
                <w:b w:val="0"/>
                <w:bCs/>
                <w:webHidden/>
              </w:rPr>
              <w:fldChar w:fldCharType="begin"/>
            </w:r>
            <w:r w:rsidRPr="00442D00">
              <w:rPr>
                <w:b w:val="0"/>
                <w:bCs/>
                <w:webHidden/>
              </w:rPr>
              <w:instrText xml:space="preserve"> PAGEREF _Toc212451869 \h </w:instrText>
            </w:r>
            <w:r w:rsidRPr="00442D00">
              <w:rPr>
                <w:b w:val="0"/>
                <w:bCs/>
                <w:webHidden/>
              </w:rPr>
            </w:r>
            <w:r w:rsidRPr="00442D00">
              <w:rPr>
                <w:b w:val="0"/>
                <w:bCs/>
                <w:webHidden/>
              </w:rPr>
              <w:fldChar w:fldCharType="separate"/>
            </w:r>
            <w:r w:rsidRPr="00442D00">
              <w:rPr>
                <w:b w:val="0"/>
                <w:bCs/>
                <w:webHidden/>
              </w:rPr>
              <w:t>16</w:t>
            </w:r>
            <w:r w:rsidRPr="00442D00">
              <w:rPr>
                <w:b w:val="0"/>
                <w:bCs/>
                <w:webHidden/>
              </w:rPr>
              <w:fldChar w:fldCharType="end"/>
            </w:r>
          </w:hyperlink>
        </w:p>
        <w:p w14:paraId="1DBFA0C4" w14:textId="48A76DB5" w:rsidR="00A67DC9" w:rsidRPr="00C15B55" w:rsidRDefault="000B7FC2" w:rsidP="000A4885">
          <w:pPr>
            <w:rPr>
              <w:color w:val="FF0000"/>
            </w:rPr>
          </w:pPr>
          <w:r w:rsidRPr="00442D00">
            <w:rPr>
              <w:bCs/>
              <w:noProof/>
              <w:color w:val="FF0000"/>
              <w:shd w:val="clear" w:color="auto" w:fill="FFFFFF" w:themeFill="background1"/>
            </w:rPr>
            <w:fldChar w:fldCharType="end"/>
          </w:r>
        </w:p>
      </w:sdtContent>
    </w:sdt>
    <w:p w14:paraId="5B874735" w14:textId="4CEB2727" w:rsidR="00C42E21" w:rsidRPr="00C15B55" w:rsidRDefault="000B7FC2">
      <w:pPr>
        <w:spacing w:after="160" w:line="259" w:lineRule="auto"/>
        <w:rPr>
          <w:rFonts w:eastAsiaTheme="majorEastAsia" w:cstheme="majorBidi"/>
          <w:b/>
          <w:color w:val="FF0000"/>
          <w:sz w:val="60"/>
          <w:szCs w:val="32"/>
        </w:rPr>
      </w:pPr>
      <w:bookmarkStart w:id="0" w:name="_Toc466025824"/>
      <w:r w:rsidRPr="00C15B55">
        <w:rPr>
          <w:color w:val="FF0000"/>
        </w:rPr>
        <w:br w:type="page"/>
      </w:r>
    </w:p>
    <w:p w14:paraId="6FC3AB72" w14:textId="1E2A30D8" w:rsidR="00C42E21" w:rsidRPr="00613A47" w:rsidRDefault="00D46DF0" w:rsidP="00613A47">
      <w:pPr>
        <w:pStyle w:val="Overskrift1"/>
      </w:pPr>
      <w:bookmarkStart w:id="1" w:name="_Toc212451854"/>
      <w:r w:rsidRPr="00613A47">
        <w:lastRenderedPageBreak/>
        <w:t>Finansiering</w:t>
      </w:r>
      <w:r w:rsidR="00AC1BEE" w:rsidRPr="00613A47">
        <w:t xml:space="preserve"> </w:t>
      </w:r>
      <w:r w:rsidR="00CD6186" w:rsidRPr="00613A47">
        <w:t xml:space="preserve">i </w:t>
      </w:r>
      <w:r w:rsidR="00007219" w:rsidRPr="00613A47">
        <w:t>budget</w:t>
      </w:r>
      <w:r w:rsidR="00B0465A" w:rsidRPr="00613A47">
        <w:t xml:space="preserve"> 202</w:t>
      </w:r>
      <w:r w:rsidR="009F5A23" w:rsidRPr="00613A47">
        <w:t>6</w:t>
      </w:r>
      <w:r w:rsidR="00BF1425" w:rsidRPr="00613A47">
        <w:t>-202</w:t>
      </w:r>
      <w:r w:rsidR="009F5A23" w:rsidRPr="00613A47">
        <w:t>9</w:t>
      </w:r>
      <w:bookmarkEnd w:id="1"/>
    </w:p>
    <w:p w14:paraId="35E244D9" w14:textId="6722F821" w:rsidR="00D46DF0" w:rsidRPr="00600EEC" w:rsidRDefault="00D46DF0" w:rsidP="00811DEC">
      <w:r w:rsidRPr="00600EEC">
        <w:t>Dette notat indeholder forudsætninger og beskrivelser af de indtægter, der indtægtsføres på henholdsvis hovedkonto 7 (renter, skatter og generelle tilskud) og hovedkonto 8 (lån og finansforskydninger).</w:t>
      </w:r>
    </w:p>
    <w:p w14:paraId="2712F3FB" w14:textId="77777777" w:rsidR="00003716" w:rsidRPr="00811DEC" w:rsidRDefault="00003716" w:rsidP="00811DEC">
      <w:pPr>
        <w:pStyle w:val="Overskrift2"/>
      </w:pPr>
      <w:bookmarkStart w:id="2" w:name="_Toc212451855"/>
      <w:r w:rsidRPr="00811DEC">
        <w:rPr>
          <w:rFonts w:eastAsia="Verdana"/>
        </w:rPr>
        <w:t>Ressourcer</w:t>
      </w:r>
      <w:bookmarkEnd w:id="2"/>
    </w:p>
    <w:p w14:paraId="163362F4" w14:textId="41A0F43F" w:rsidR="00D46DF0" w:rsidRPr="00811DEC" w:rsidRDefault="00003716" w:rsidP="00811DEC">
      <w:pPr>
        <w:pStyle w:val="Billedoverskrift"/>
      </w:pPr>
      <w:r w:rsidRPr="00811DEC">
        <w:t>Sektorens budget for 20</w:t>
      </w:r>
      <w:r w:rsidR="004E7BFC" w:rsidRPr="00811DEC">
        <w:t>2</w:t>
      </w:r>
      <w:r w:rsidR="00600EEC" w:rsidRPr="00811DEC">
        <w:t>5</w:t>
      </w:r>
      <w:r w:rsidRPr="00811DEC">
        <w:t>-202</w:t>
      </w:r>
      <w:r w:rsidR="001B3FC0" w:rsidRPr="00811DEC">
        <w:t>9</w:t>
      </w:r>
      <w:r w:rsidRPr="00811DEC">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Pr>
      <w:tblGrid>
        <w:gridCol w:w="4795"/>
        <w:gridCol w:w="1070"/>
        <w:gridCol w:w="1070"/>
        <w:gridCol w:w="1112"/>
        <w:gridCol w:w="1112"/>
        <w:gridCol w:w="1070"/>
      </w:tblGrid>
      <w:tr w:rsidR="00C15B55" w:rsidRPr="00C15B55" w14:paraId="0F9A1AED" w14:textId="77777777" w:rsidTr="00A3254C">
        <w:trPr>
          <w:trHeight w:val="397"/>
        </w:trPr>
        <w:tc>
          <w:tcPr>
            <w:tcW w:w="4795" w:type="dxa"/>
            <w:tcBorders>
              <w:bottom w:val="single" w:sz="4" w:space="0" w:color="5F9F2A" w:themeColor="accent1"/>
            </w:tcBorders>
            <w:shd w:val="clear" w:color="auto" w:fill="5F9F2A" w:themeFill="accent1"/>
            <w:noWrap/>
            <w:vAlign w:val="center"/>
            <w:hideMark/>
          </w:tcPr>
          <w:p w14:paraId="64B860CA" w14:textId="7F0A85D0" w:rsidR="00AA6C24" w:rsidRPr="00E13C26" w:rsidRDefault="00AA6C24" w:rsidP="00E13C26">
            <w:pPr>
              <w:pStyle w:val="Tabeloverskrift"/>
            </w:pPr>
            <w:r w:rsidRPr="00E13C26">
              <w:t xml:space="preserve">1.000 kr. i </w:t>
            </w:r>
            <w:r w:rsidR="003557F6" w:rsidRPr="00E13C26">
              <w:t xml:space="preserve">løbende </w:t>
            </w:r>
            <w:r w:rsidRPr="00E13C26">
              <w:t xml:space="preserve">priser </w:t>
            </w:r>
          </w:p>
        </w:tc>
        <w:tc>
          <w:tcPr>
            <w:tcW w:w="1070" w:type="dxa"/>
            <w:tcBorders>
              <w:bottom w:val="single" w:sz="4" w:space="0" w:color="5F9F2A" w:themeColor="accent1"/>
            </w:tcBorders>
            <w:shd w:val="clear" w:color="auto" w:fill="5F9F2A" w:themeFill="accent1"/>
            <w:vAlign w:val="center"/>
            <w:hideMark/>
          </w:tcPr>
          <w:p w14:paraId="106614BB" w14:textId="1B918F28" w:rsidR="00AA6C24" w:rsidRPr="00E13C26" w:rsidRDefault="00AA6C24" w:rsidP="00E13C26">
            <w:pPr>
              <w:pStyle w:val="Tabeloverskrift"/>
              <w:jc w:val="center"/>
            </w:pPr>
            <w:r w:rsidRPr="00E13C26">
              <w:t>B 20</w:t>
            </w:r>
            <w:r w:rsidR="004E7BFC" w:rsidRPr="00E13C26">
              <w:t>2</w:t>
            </w:r>
            <w:r w:rsidR="001B3FC0" w:rsidRPr="00E13C26">
              <w:t>5</w:t>
            </w:r>
          </w:p>
        </w:tc>
        <w:tc>
          <w:tcPr>
            <w:tcW w:w="1070" w:type="dxa"/>
            <w:tcBorders>
              <w:bottom w:val="single" w:sz="4" w:space="0" w:color="5F9F2A" w:themeColor="accent1"/>
            </w:tcBorders>
            <w:shd w:val="clear" w:color="auto" w:fill="5F9F2A" w:themeFill="accent1"/>
            <w:vAlign w:val="center"/>
            <w:hideMark/>
          </w:tcPr>
          <w:p w14:paraId="3735FA43" w14:textId="1E4F369C" w:rsidR="00AA6C24" w:rsidRPr="00E13C26" w:rsidRDefault="004E7BFC" w:rsidP="00E13C26">
            <w:pPr>
              <w:pStyle w:val="Tabeloverskrift"/>
              <w:jc w:val="center"/>
            </w:pPr>
            <w:r w:rsidRPr="00E13C26">
              <w:t>B 202</w:t>
            </w:r>
            <w:r w:rsidR="001B3FC0" w:rsidRPr="00E13C26">
              <w:t>6</w:t>
            </w:r>
          </w:p>
        </w:tc>
        <w:tc>
          <w:tcPr>
            <w:tcW w:w="1112" w:type="dxa"/>
            <w:tcBorders>
              <w:bottom w:val="single" w:sz="4" w:space="0" w:color="5F9F2A" w:themeColor="accent1"/>
            </w:tcBorders>
            <w:shd w:val="clear" w:color="auto" w:fill="5F9F2A" w:themeFill="accent1"/>
            <w:vAlign w:val="center"/>
            <w:hideMark/>
          </w:tcPr>
          <w:p w14:paraId="2CCEBC40" w14:textId="4C1F4D4B" w:rsidR="00AA6C24" w:rsidRPr="00E13C26" w:rsidRDefault="00AA6C24" w:rsidP="00E13C26">
            <w:pPr>
              <w:pStyle w:val="Tabeloverskrift"/>
              <w:jc w:val="center"/>
            </w:pPr>
            <w:r w:rsidRPr="00E13C26">
              <w:t>BO 202</w:t>
            </w:r>
            <w:r w:rsidR="001B3FC0" w:rsidRPr="00E13C26">
              <w:t>7</w:t>
            </w:r>
          </w:p>
        </w:tc>
        <w:tc>
          <w:tcPr>
            <w:tcW w:w="1112" w:type="dxa"/>
            <w:tcBorders>
              <w:bottom w:val="single" w:sz="4" w:space="0" w:color="5F9F2A" w:themeColor="accent1"/>
            </w:tcBorders>
            <w:shd w:val="clear" w:color="auto" w:fill="5F9F2A" w:themeFill="accent1"/>
            <w:vAlign w:val="center"/>
          </w:tcPr>
          <w:p w14:paraId="1218A9E9" w14:textId="10A4EFCB" w:rsidR="00AA6C24" w:rsidRPr="00E13C26" w:rsidRDefault="00AA6C24" w:rsidP="00E13C26">
            <w:pPr>
              <w:pStyle w:val="Tabeloverskrift"/>
              <w:jc w:val="center"/>
            </w:pPr>
            <w:r w:rsidRPr="00E13C26">
              <w:t>BO 202</w:t>
            </w:r>
            <w:r w:rsidR="001B3FC0" w:rsidRPr="00E13C26">
              <w:t>8</w:t>
            </w:r>
          </w:p>
        </w:tc>
        <w:tc>
          <w:tcPr>
            <w:tcW w:w="1070" w:type="dxa"/>
            <w:tcBorders>
              <w:bottom w:val="single" w:sz="4" w:space="0" w:color="5F9F2A" w:themeColor="accent1"/>
            </w:tcBorders>
            <w:shd w:val="clear" w:color="auto" w:fill="5F9F2A" w:themeFill="accent1"/>
            <w:vAlign w:val="center"/>
            <w:hideMark/>
          </w:tcPr>
          <w:p w14:paraId="573B0E22" w14:textId="40BB3696" w:rsidR="00AA6C24" w:rsidRPr="00E13C26" w:rsidRDefault="00AA6C24" w:rsidP="00E13C26">
            <w:pPr>
              <w:pStyle w:val="Tabeloverskrift"/>
              <w:jc w:val="center"/>
            </w:pPr>
            <w:r w:rsidRPr="00E13C26">
              <w:t>BO 202</w:t>
            </w:r>
            <w:r w:rsidR="001B3FC0" w:rsidRPr="00E13C26">
              <w:t>9</w:t>
            </w:r>
          </w:p>
        </w:tc>
      </w:tr>
      <w:tr w:rsidR="00764325" w:rsidRPr="00C15B55" w14:paraId="68E8D733" w14:textId="77777777" w:rsidTr="00A3254C">
        <w:trPr>
          <w:trHeight w:val="284"/>
        </w:trPr>
        <w:tc>
          <w:tcPr>
            <w:tcW w:w="4795" w:type="dxa"/>
            <w:tcBorders>
              <w:top w:val="single" w:sz="4" w:space="0" w:color="5F9F2A" w:themeColor="accent1"/>
              <w:bottom w:val="single" w:sz="4" w:space="0" w:color="5F9F2A" w:themeColor="accent1"/>
              <w:right w:val="single" w:sz="4" w:space="0" w:color="5F9F2A" w:themeColor="accent1"/>
            </w:tcBorders>
            <w:hideMark/>
          </w:tcPr>
          <w:p w14:paraId="2607B125" w14:textId="5D79FEA1" w:rsidR="00764325" w:rsidRPr="00613A47" w:rsidRDefault="00764325" w:rsidP="00613A47">
            <w:pPr>
              <w:pStyle w:val="Tabeludfyldningiret"/>
              <w:jc w:val="left"/>
            </w:pPr>
            <w:r w:rsidRPr="00613A47">
              <w:t>Renter</w:t>
            </w:r>
          </w:p>
        </w:tc>
        <w:tc>
          <w:tcPr>
            <w:tcW w:w="1070"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10239104" w14:textId="6F879EEE" w:rsidR="00764325" w:rsidRPr="00613A47" w:rsidRDefault="00764325" w:rsidP="00613A47">
            <w:pPr>
              <w:pStyle w:val="Tabeludfyldningiret"/>
            </w:pPr>
            <w:r w:rsidRPr="00613A47">
              <w:t>-106.002</w:t>
            </w:r>
          </w:p>
        </w:tc>
        <w:tc>
          <w:tcPr>
            <w:tcW w:w="1070"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3F7EFF40" w14:textId="46960DEC" w:rsidR="00764325" w:rsidRPr="00613A47" w:rsidRDefault="00764325" w:rsidP="00613A47">
            <w:pPr>
              <w:pStyle w:val="Tabeludfyldningiret"/>
            </w:pPr>
            <w:r w:rsidRPr="00613A47">
              <w:t>-58.565</w:t>
            </w:r>
          </w:p>
        </w:tc>
        <w:tc>
          <w:tcPr>
            <w:tcW w:w="1112"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061307F4" w14:textId="0C3C91EE" w:rsidR="00764325" w:rsidRPr="00613A47" w:rsidRDefault="00764325" w:rsidP="00613A47">
            <w:pPr>
              <w:pStyle w:val="Tabeludfyldningiret"/>
            </w:pPr>
            <w:r w:rsidRPr="00613A47">
              <w:t>-15.381</w:t>
            </w:r>
          </w:p>
        </w:tc>
        <w:tc>
          <w:tcPr>
            <w:tcW w:w="1112"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vAlign w:val="bottom"/>
          </w:tcPr>
          <w:p w14:paraId="2324DCFB" w14:textId="29C9DAC5" w:rsidR="00764325" w:rsidRPr="00613A47" w:rsidRDefault="00764325" w:rsidP="00613A47">
            <w:pPr>
              <w:pStyle w:val="Tabeludfyldningiret"/>
            </w:pPr>
            <w:r w:rsidRPr="00613A47">
              <w:t>3.550</w:t>
            </w:r>
          </w:p>
        </w:tc>
        <w:tc>
          <w:tcPr>
            <w:tcW w:w="1070"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583E4BA5" w14:textId="3A716959" w:rsidR="00764325" w:rsidRPr="00613A47" w:rsidRDefault="00764325" w:rsidP="00613A47">
            <w:pPr>
              <w:pStyle w:val="Tabeludfyldningiret"/>
            </w:pPr>
            <w:r w:rsidRPr="00613A47">
              <w:t>29.910</w:t>
            </w:r>
          </w:p>
        </w:tc>
      </w:tr>
      <w:tr w:rsidR="00764325" w:rsidRPr="00C15B55" w14:paraId="06B4EA26" w14:textId="77777777" w:rsidTr="0081158D">
        <w:trPr>
          <w:trHeight w:val="284"/>
        </w:trPr>
        <w:tc>
          <w:tcPr>
            <w:tcW w:w="4795" w:type="dxa"/>
            <w:hideMark/>
          </w:tcPr>
          <w:p w14:paraId="4794ACB3" w14:textId="4AD72FB3" w:rsidR="00764325" w:rsidRPr="00613A47" w:rsidRDefault="00764325" w:rsidP="00613A47">
            <w:pPr>
              <w:pStyle w:val="Tabeludfyldningiret"/>
              <w:jc w:val="left"/>
            </w:pPr>
            <w:r w:rsidRPr="00613A47">
              <w:t>Skat</w:t>
            </w:r>
          </w:p>
        </w:tc>
        <w:tc>
          <w:tcPr>
            <w:tcW w:w="1070" w:type="dxa"/>
            <w:tcBorders>
              <w:top w:val="nil"/>
              <w:left w:val="nil"/>
              <w:bottom w:val="nil"/>
              <w:right w:val="nil"/>
            </w:tcBorders>
            <w:noWrap/>
            <w:vAlign w:val="bottom"/>
          </w:tcPr>
          <w:p w14:paraId="2DB21B75" w14:textId="0ECC0D8E" w:rsidR="00764325" w:rsidRPr="00613A47" w:rsidRDefault="00764325" w:rsidP="00613A47">
            <w:pPr>
              <w:pStyle w:val="Tabeludfyldningiret"/>
            </w:pPr>
            <w:r w:rsidRPr="00613A47">
              <w:t>-23.835.086</w:t>
            </w:r>
          </w:p>
        </w:tc>
        <w:tc>
          <w:tcPr>
            <w:tcW w:w="1070" w:type="dxa"/>
            <w:noWrap/>
          </w:tcPr>
          <w:p w14:paraId="24D41579" w14:textId="79B1ED62" w:rsidR="00764325" w:rsidRPr="00613A47" w:rsidRDefault="00764325" w:rsidP="00613A47">
            <w:pPr>
              <w:pStyle w:val="Tabeludfyldningiret"/>
            </w:pPr>
            <w:r w:rsidRPr="00613A47">
              <w:t>-23.602.090</w:t>
            </w:r>
          </w:p>
        </w:tc>
        <w:tc>
          <w:tcPr>
            <w:tcW w:w="1112" w:type="dxa"/>
            <w:noWrap/>
          </w:tcPr>
          <w:p w14:paraId="77487EBF" w14:textId="4D7B662A" w:rsidR="00764325" w:rsidRPr="00613A47" w:rsidRDefault="00764325" w:rsidP="00613A47">
            <w:pPr>
              <w:pStyle w:val="Tabeludfyldningiret"/>
            </w:pPr>
            <w:r w:rsidRPr="00613A47">
              <w:t>-24.829.193</w:t>
            </w:r>
          </w:p>
        </w:tc>
        <w:tc>
          <w:tcPr>
            <w:tcW w:w="1112" w:type="dxa"/>
          </w:tcPr>
          <w:p w14:paraId="333363A4" w14:textId="52A5B866" w:rsidR="00764325" w:rsidRPr="00613A47" w:rsidRDefault="00764325" w:rsidP="00613A47">
            <w:pPr>
              <w:pStyle w:val="Tabeludfyldningiret"/>
            </w:pPr>
            <w:r w:rsidRPr="00613A47">
              <w:t>-26.159.256</w:t>
            </w:r>
          </w:p>
        </w:tc>
        <w:tc>
          <w:tcPr>
            <w:tcW w:w="1070" w:type="dxa"/>
            <w:noWrap/>
          </w:tcPr>
          <w:p w14:paraId="558266F7" w14:textId="296E3214" w:rsidR="00764325" w:rsidRPr="00613A47" w:rsidRDefault="00764325" w:rsidP="00613A47">
            <w:pPr>
              <w:pStyle w:val="Tabeludfyldningiret"/>
            </w:pPr>
            <w:r w:rsidRPr="00613A47">
              <w:t>-27.200.510</w:t>
            </w:r>
          </w:p>
        </w:tc>
      </w:tr>
      <w:tr w:rsidR="00764325" w:rsidRPr="00C15B55" w14:paraId="76CC0169" w14:textId="77777777" w:rsidTr="00441846">
        <w:trPr>
          <w:trHeight w:val="284"/>
        </w:trPr>
        <w:tc>
          <w:tcPr>
            <w:tcW w:w="4795" w:type="dxa"/>
          </w:tcPr>
          <w:p w14:paraId="45766056" w14:textId="753F509D" w:rsidR="00764325" w:rsidRPr="00613A47" w:rsidRDefault="00764325" w:rsidP="00613A47">
            <w:pPr>
              <w:pStyle w:val="Tabeludfyldningiret"/>
              <w:jc w:val="left"/>
            </w:pPr>
            <w:r w:rsidRPr="00613A47">
              <w:t>Generelle tilskud og udligning</w:t>
            </w:r>
          </w:p>
        </w:tc>
        <w:tc>
          <w:tcPr>
            <w:tcW w:w="1070" w:type="dxa"/>
            <w:noWrap/>
            <w:vAlign w:val="center"/>
          </w:tcPr>
          <w:p w14:paraId="695AA851" w14:textId="5FD1B4D7" w:rsidR="00764325" w:rsidRPr="00613A47" w:rsidRDefault="00764325" w:rsidP="00613A47">
            <w:pPr>
              <w:pStyle w:val="Tabeludfyldningiret"/>
            </w:pPr>
            <w:r w:rsidRPr="00613A47">
              <w:t>-3.355.599</w:t>
            </w:r>
          </w:p>
        </w:tc>
        <w:tc>
          <w:tcPr>
            <w:tcW w:w="1070" w:type="dxa"/>
            <w:noWrap/>
            <w:vAlign w:val="center"/>
          </w:tcPr>
          <w:p w14:paraId="55F82CE7" w14:textId="06752182" w:rsidR="00764325" w:rsidRPr="00613A47" w:rsidRDefault="00764325" w:rsidP="00613A47">
            <w:pPr>
              <w:pStyle w:val="Tabeludfyldningiret"/>
            </w:pPr>
            <w:r w:rsidRPr="00613A47">
              <w:t>-4.148.696</w:t>
            </w:r>
          </w:p>
        </w:tc>
        <w:tc>
          <w:tcPr>
            <w:tcW w:w="1112" w:type="dxa"/>
            <w:noWrap/>
            <w:vAlign w:val="center"/>
          </w:tcPr>
          <w:p w14:paraId="2CDF6EF7" w14:textId="69C0AA60" w:rsidR="00764325" w:rsidRPr="00613A47" w:rsidRDefault="00764325" w:rsidP="00613A47">
            <w:pPr>
              <w:pStyle w:val="Tabeludfyldningiret"/>
            </w:pPr>
            <w:r w:rsidRPr="00613A47">
              <w:t>-3.784.935</w:t>
            </w:r>
          </w:p>
        </w:tc>
        <w:tc>
          <w:tcPr>
            <w:tcW w:w="1112" w:type="dxa"/>
            <w:vAlign w:val="center"/>
          </w:tcPr>
          <w:p w14:paraId="12B0B36E" w14:textId="1E9677CC" w:rsidR="00764325" w:rsidRPr="00613A47" w:rsidRDefault="00764325" w:rsidP="00613A47">
            <w:pPr>
              <w:pStyle w:val="Tabeludfyldningiret"/>
            </w:pPr>
            <w:r w:rsidRPr="00613A47">
              <w:t>-3.758.642</w:t>
            </w:r>
          </w:p>
        </w:tc>
        <w:tc>
          <w:tcPr>
            <w:tcW w:w="1070" w:type="dxa"/>
            <w:noWrap/>
            <w:vAlign w:val="center"/>
          </w:tcPr>
          <w:p w14:paraId="1FE03132" w14:textId="49E9A2B9" w:rsidR="00764325" w:rsidRPr="00613A47" w:rsidRDefault="00764325" w:rsidP="00613A47">
            <w:pPr>
              <w:pStyle w:val="Tabeludfyldningiret"/>
            </w:pPr>
            <w:r w:rsidRPr="00613A47">
              <w:t>-3.822.984</w:t>
            </w:r>
          </w:p>
        </w:tc>
      </w:tr>
      <w:tr w:rsidR="00764325" w:rsidRPr="00C15B55" w14:paraId="43EAEDEC" w14:textId="77777777" w:rsidTr="009750DA">
        <w:trPr>
          <w:trHeight w:val="284"/>
        </w:trPr>
        <w:tc>
          <w:tcPr>
            <w:tcW w:w="4795" w:type="dxa"/>
            <w:tcBorders>
              <w:top w:val="single" w:sz="4" w:space="0" w:color="5F9F2A" w:themeColor="accent1"/>
              <w:bottom w:val="single" w:sz="4" w:space="0" w:color="5F9F2A" w:themeColor="accent1"/>
              <w:right w:val="single" w:sz="4" w:space="0" w:color="5F9F2A" w:themeColor="accent1"/>
            </w:tcBorders>
          </w:tcPr>
          <w:p w14:paraId="0B5F0678" w14:textId="627FCD54" w:rsidR="00764325" w:rsidRPr="00613A47" w:rsidRDefault="00764325" w:rsidP="00613A47">
            <w:pPr>
              <w:pStyle w:val="Tabeludfyldningiret"/>
              <w:jc w:val="left"/>
            </w:pPr>
            <w:bookmarkStart w:id="3" w:name="_Hlk206586886"/>
            <w:r w:rsidRPr="00613A47">
              <w:t>Finansforskydninger</w:t>
            </w:r>
          </w:p>
        </w:tc>
        <w:tc>
          <w:tcPr>
            <w:tcW w:w="1070"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5787DDAB" w14:textId="63043C0A" w:rsidR="00764325" w:rsidRPr="00613A47" w:rsidRDefault="00764325" w:rsidP="00613A47">
            <w:pPr>
              <w:pStyle w:val="Tabeludfyldningiret"/>
            </w:pPr>
            <w:r w:rsidRPr="00613A47">
              <w:t>793.860</w:t>
            </w:r>
          </w:p>
        </w:tc>
        <w:tc>
          <w:tcPr>
            <w:tcW w:w="1070"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124FCC2E" w14:textId="37775319" w:rsidR="00764325" w:rsidRPr="00613A47" w:rsidRDefault="00764325" w:rsidP="00613A47">
            <w:pPr>
              <w:pStyle w:val="Tabeludfyldningiret"/>
            </w:pPr>
            <w:r w:rsidRPr="00613A47">
              <w:t>612.298</w:t>
            </w:r>
          </w:p>
        </w:tc>
        <w:tc>
          <w:tcPr>
            <w:tcW w:w="1112"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1A58B922" w14:textId="77DB7C9F" w:rsidR="00764325" w:rsidRPr="00613A47" w:rsidRDefault="00764325" w:rsidP="00613A47">
            <w:pPr>
              <w:pStyle w:val="Tabeludfyldningiret"/>
            </w:pPr>
            <w:r w:rsidRPr="00613A47">
              <w:t>776426</w:t>
            </w:r>
          </w:p>
        </w:tc>
        <w:tc>
          <w:tcPr>
            <w:tcW w:w="1112"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vAlign w:val="bottom"/>
          </w:tcPr>
          <w:p w14:paraId="58C31E93" w14:textId="15C27B24" w:rsidR="00764325" w:rsidRPr="00613A47" w:rsidRDefault="00764325" w:rsidP="00613A47">
            <w:pPr>
              <w:pStyle w:val="Tabeludfyldningiret"/>
            </w:pPr>
            <w:r w:rsidRPr="00613A47">
              <w:t>521133</w:t>
            </w:r>
          </w:p>
        </w:tc>
        <w:tc>
          <w:tcPr>
            <w:tcW w:w="1070" w:type="dxa"/>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5078C358" w14:textId="0F8A06FA" w:rsidR="00764325" w:rsidRPr="00613A47" w:rsidRDefault="00764325" w:rsidP="00613A47">
            <w:pPr>
              <w:pStyle w:val="Tabeludfyldningiret"/>
            </w:pPr>
            <w:r w:rsidRPr="00613A47">
              <w:t>294.557</w:t>
            </w:r>
          </w:p>
        </w:tc>
      </w:tr>
    </w:tbl>
    <w:p w14:paraId="11901477" w14:textId="77777777" w:rsidR="005F55FB" w:rsidRPr="00C15B55" w:rsidRDefault="005F55FB" w:rsidP="008B36A9">
      <w:pPr>
        <w:rPr>
          <w:color w:val="FF0000"/>
        </w:rPr>
      </w:pPr>
      <w:bookmarkStart w:id="4" w:name="_Toc452557292"/>
      <w:bookmarkEnd w:id="3"/>
    </w:p>
    <w:p w14:paraId="6B346691" w14:textId="028E5158" w:rsidR="008B36A9" w:rsidRPr="00613A47" w:rsidRDefault="008B36A9" w:rsidP="00613A47">
      <w:pPr>
        <w:pStyle w:val="Overskrift1"/>
      </w:pPr>
      <w:bookmarkStart w:id="5" w:name="_Toc212451856"/>
      <w:r w:rsidRPr="00613A47">
        <w:t>Re</w:t>
      </w:r>
      <w:r w:rsidR="00D46DF0" w:rsidRPr="00613A47">
        <w:t>nter</w:t>
      </w:r>
      <w:bookmarkEnd w:id="5"/>
    </w:p>
    <w:p w14:paraId="14652807" w14:textId="77777777" w:rsidR="00764325" w:rsidRPr="0089715E" w:rsidRDefault="00764325" w:rsidP="00764325">
      <w:pPr>
        <w:rPr>
          <w:color w:val="auto"/>
        </w:rPr>
      </w:pPr>
      <w:r w:rsidRPr="0089715E">
        <w:rPr>
          <w:color w:val="auto"/>
        </w:rPr>
        <w:t xml:space="preserve">Ved budgettering af renter af likvide aktiver er der dels taget højde for, at der er meget store udsving i likviditeten over året, samt inden for den enkelte måned, dels at en andel af kassebeholdningen er anbragt i kapitalforvaltning. Denne andel er tilpasset udviklingen i de likvide aktiver og forventes at give et merrenteafkast i forhold til de generelle renteforudsætninger. </w:t>
      </w:r>
    </w:p>
    <w:p w14:paraId="07BD5AC1" w14:textId="77777777" w:rsidR="00764325" w:rsidRPr="0089715E" w:rsidRDefault="00764325" w:rsidP="00764325">
      <w:pPr>
        <w:rPr>
          <w:color w:val="auto"/>
        </w:rPr>
      </w:pPr>
      <w:r w:rsidRPr="0089715E">
        <w:rPr>
          <w:color w:val="auto"/>
        </w:rPr>
        <w:t xml:space="preserve">Der </w:t>
      </w:r>
      <w:proofErr w:type="gramStart"/>
      <w:r w:rsidRPr="0089715E">
        <w:rPr>
          <w:color w:val="auto"/>
        </w:rPr>
        <w:t>pågår</w:t>
      </w:r>
      <w:proofErr w:type="gramEnd"/>
      <w:r w:rsidRPr="0089715E">
        <w:rPr>
          <w:color w:val="auto"/>
        </w:rPr>
        <w:t xml:space="preserve"> løbende en samlet vurdering og optimering af de rentemæssige forhold i relation til, hvordan målet om at optimere de samlede nettorenteindtægter bedst opnås. Den umiddelbare sammenhæng til de likvide aktiver gør, at denne vurdering er afstemt med udviklingen heri. De likvide aktiver søges holdt på et niveau, der tilgodeser muligheden for at dække sæsonsvingninger i kommunens udgifter, samt i et rimeligt omfang uforudsete hændelser. Der anvendes forskellige redskaber i løbet af året for at minimere renteudgifterne.</w:t>
      </w:r>
    </w:p>
    <w:p w14:paraId="064F5929" w14:textId="77777777" w:rsidR="00764325" w:rsidRPr="0089715E" w:rsidRDefault="00764325" w:rsidP="00764325">
      <w:pPr>
        <w:rPr>
          <w:color w:val="auto"/>
        </w:rPr>
      </w:pPr>
      <w:r w:rsidRPr="0089715E">
        <w:rPr>
          <w:color w:val="auto"/>
        </w:rPr>
        <w:t>Forsyningsvirksomhedernes udlæg fratrukket øremærkede placeringer (hvor forrentningen sker med den faktiske rente) forrentes med en kort markedsrente (indskudsbevisrenten) med et tillæg på 0,75% for gæld. Det samme gør sig gældende for forsyningsvirksomhedernes kortfristede mellemværende med kommunekassen.</w:t>
      </w:r>
    </w:p>
    <w:p w14:paraId="2D1C3278" w14:textId="7F6A4BF0" w:rsidR="00764325" w:rsidRPr="0089715E" w:rsidRDefault="00613A47" w:rsidP="00764325">
      <w:pPr>
        <w:rPr>
          <w:color w:val="auto"/>
        </w:rPr>
      </w:pPr>
      <w:r w:rsidRPr="0089715E">
        <w:rPr>
          <w:color w:val="auto"/>
        </w:rPr>
        <w:t xml:space="preserve">I budgetperioden 2026 til 2029 ventes der at være nettorenteindtægter på gennemsnitligt ca. 10 mio. kr. årligt. </w:t>
      </w:r>
      <w:r w:rsidR="00764325" w:rsidRPr="0089715E">
        <w:rPr>
          <w:color w:val="auto"/>
        </w:rPr>
        <w:t xml:space="preserve">I 2025 </w:t>
      </w:r>
      <w:r>
        <w:rPr>
          <w:color w:val="auto"/>
        </w:rPr>
        <w:t>er forventningen en netto</w:t>
      </w:r>
      <w:r w:rsidR="00764325" w:rsidRPr="0089715E">
        <w:rPr>
          <w:color w:val="auto"/>
        </w:rPr>
        <w:t xml:space="preserve">renteindtægt på 106 mio. kr. Rentetallene er anført ekskl. renter til lån vedrørende ældreboliger. </w:t>
      </w:r>
    </w:p>
    <w:p w14:paraId="2DC8DE64" w14:textId="54217BA0" w:rsidR="00764325" w:rsidRPr="0089715E" w:rsidRDefault="00764325" w:rsidP="00764325">
      <w:pPr>
        <w:rPr>
          <w:color w:val="auto"/>
        </w:rPr>
      </w:pPr>
      <w:r w:rsidRPr="0089715E">
        <w:rPr>
          <w:color w:val="auto"/>
        </w:rPr>
        <w:t>I budgetperioden 2026-2029 er nettorenterne beregnet ud fra en forudsætning om en rente af overskudslikvide aktiver på 2,0% p.a. plus 2,5% p.a. (4,50% p.a. i alt), som var de en del af kapitalforvaltningsaftalerne, og en rente på 3,25% p.a. for optagelse af nye langfristede lån.</w:t>
      </w:r>
      <w:r w:rsidR="00613A47">
        <w:rPr>
          <w:color w:val="auto"/>
        </w:rPr>
        <w:t xml:space="preserve"> Til sammenligning var n</w:t>
      </w:r>
      <w:r w:rsidR="00613A47" w:rsidRPr="0089715E">
        <w:rPr>
          <w:color w:val="auto"/>
        </w:rPr>
        <w:t>ettorenteindtægterne i budget 2025 beregnet ud fra en forudsætning om en rente af overskudslikvide aktiver på 2,5% plus 2,5% (5,0% p.a. i alt), som var de en del af kapitalforvaltningsaftalerne, og en rente på 3,75% p.a. for optagelse af nye langfristede lån.</w:t>
      </w:r>
    </w:p>
    <w:p w14:paraId="0E087008" w14:textId="77777777" w:rsidR="00764325" w:rsidRPr="0089715E" w:rsidRDefault="00764325" w:rsidP="00764325">
      <w:pPr>
        <w:rPr>
          <w:color w:val="auto"/>
        </w:rPr>
      </w:pPr>
      <w:r w:rsidRPr="0089715E">
        <w:rPr>
          <w:color w:val="auto"/>
        </w:rPr>
        <w:lastRenderedPageBreak/>
        <w:t>Udviklingen i nettorenterne på de skattefinansierede områder skal ses i sammenhæng med forbruget af likvide aktiver - herunder forholdsvis store kasseændringer, samt fuld udnyttelse af den kommunale låneramme.</w:t>
      </w:r>
    </w:p>
    <w:p w14:paraId="74BEA43E" w14:textId="64C2584A" w:rsidR="00764325" w:rsidRPr="0089715E" w:rsidRDefault="00764325" w:rsidP="00764325">
      <w:pPr>
        <w:rPr>
          <w:color w:val="auto"/>
        </w:rPr>
      </w:pPr>
      <w:r w:rsidRPr="0089715E">
        <w:rPr>
          <w:color w:val="auto"/>
        </w:rPr>
        <w:t xml:space="preserve">Efter flere år med diverse kriser, og nu med krig i både Ukraine og </w:t>
      </w:r>
      <w:r w:rsidR="00613A47">
        <w:rPr>
          <w:color w:val="auto"/>
        </w:rPr>
        <w:t xml:space="preserve">Mellemøsten </w:t>
      </w:r>
      <w:r w:rsidRPr="0089715E">
        <w:rPr>
          <w:color w:val="auto"/>
        </w:rPr>
        <w:t>er der mange geopolitiske faktorer</w:t>
      </w:r>
      <w:r w:rsidR="00613A47">
        <w:rPr>
          <w:color w:val="auto"/>
        </w:rPr>
        <w:t>,</w:t>
      </w:r>
      <w:r w:rsidRPr="0089715E">
        <w:rPr>
          <w:color w:val="auto"/>
        </w:rPr>
        <w:t xml:space="preserve"> der spiller ind på de finansielle markeder. Renterne ser dog ud til at have stabiliseret sig, </w:t>
      </w:r>
      <w:r w:rsidR="00613A47">
        <w:rPr>
          <w:color w:val="auto"/>
        </w:rPr>
        <w:t>hvilket ses som</w:t>
      </w:r>
      <w:r w:rsidRPr="0089715E">
        <w:rPr>
          <w:color w:val="auto"/>
        </w:rPr>
        <w:t xml:space="preserve"> et tegn på mere ro på markederne og </w:t>
      </w:r>
      <w:r w:rsidR="00613A47">
        <w:rPr>
          <w:color w:val="auto"/>
        </w:rPr>
        <w:t xml:space="preserve">i </w:t>
      </w:r>
      <w:r w:rsidRPr="0089715E">
        <w:rPr>
          <w:color w:val="auto"/>
        </w:rPr>
        <w:t>verdensøkonomien. Der er dog stadig stor usikkerhed på markederne, og dette skaber naturligvis også en vis usikkerhed på det fremtidige afkast fra kapitalforvaltningen.</w:t>
      </w:r>
    </w:p>
    <w:p w14:paraId="4C654730" w14:textId="49CDB6BE" w:rsidR="00D46DF0" w:rsidRPr="00C15B55" w:rsidRDefault="00D46DF0" w:rsidP="005C1D91">
      <w:pPr>
        <w:rPr>
          <w:color w:val="FF0000"/>
          <w:szCs w:val="20"/>
        </w:rPr>
      </w:pPr>
    </w:p>
    <w:p w14:paraId="35DD0FDD" w14:textId="024E4800" w:rsidR="00D46DF0" w:rsidRPr="00613A47" w:rsidRDefault="00D46DF0" w:rsidP="00613A47">
      <w:pPr>
        <w:pStyle w:val="Overskrift1"/>
      </w:pPr>
      <w:bookmarkStart w:id="6" w:name="_Toc212451857"/>
      <w:r w:rsidRPr="00613A47">
        <w:t>Skat</w:t>
      </w:r>
      <w:bookmarkEnd w:id="6"/>
    </w:p>
    <w:p w14:paraId="3079B0D1" w14:textId="497FB3CC" w:rsidR="00DB3765" w:rsidRPr="00026AEC" w:rsidRDefault="00EC20A7" w:rsidP="00811DEC">
      <w:r w:rsidRPr="00026AEC">
        <w:t>De samlede skatteindtægter i budgettet for 202</w:t>
      </w:r>
      <w:r w:rsidR="00E20D62" w:rsidRPr="00026AEC">
        <w:t>6</w:t>
      </w:r>
      <w:r w:rsidRPr="00026AEC">
        <w:t xml:space="preserve"> forventes at udgøre </w:t>
      </w:r>
      <w:r w:rsidR="00E20D62" w:rsidRPr="00026AEC">
        <w:t>23,</w:t>
      </w:r>
      <w:r w:rsidR="00026AEC" w:rsidRPr="00026AEC">
        <w:t>6</w:t>
      </w:r>
      <w:r w:rsidRPr="00026AEC">
        <w:t xml:space="preserve"> mia. kr.</w:t>
      </w:r>
      <w:r w:rsidR="00D513BE" w:rsidRPr="00026AEC">
        <w:t>,</w:t>
      </w:r>
      <w:r w:rsidRPr="00026AEC">
        <w:t xml:space="preserve"> og </w:t>
      </w:r>
      <w:r w:rsidR="00D513BE" w:rsidRPr="00026AEC">
        <w:t xml:space="preserve">de </w:t>
      </w:r>
      <w:r w:rsidRPr="00026AEC">
        <w:t xml:space="preserve">forventes at stige til </w:t>
      </w:r>
      <w:r w:rsidR="00E20D62" w:rsidRPr="00026AEC">
        <w:t>27,</w:t>
      </w:r>
      <w:r w:rsidR="00026AEC" w:rsidRPr="00026AEC">
        <w:t>2</w:t>
      </w:r>
      <w:r w:rsidR="00953E4C" w:rsidRPr="00026AEC">
        <w:t xml:space="preserve"> </w:t>
      </w:r>
      <w:r w:rsidRPr="00026AEC">
        <w:t>mi</w:t>
      </w:r>
      <w:r w:rsidR="00C17C20" w:rsidRPr="00026AEC">
        <w:t>a</w:t>
      </w:r>
      <w:r w:rsidRPr="00026AEC">
        <w:t xml:space="preserve">. </w:t>
      </w:r>
      <w:r w:rsidR="00C17C20" w:rsidRPr="00026AEC">
        <w:t>k</w:t>
      </w:r>
      <w:r w:rsidRPr="00026AEC">
        <w:t>r. i 202</w:t>
      </w:r>
      <w:r w:rsidR="00E20D62" w:rsidRPr="00026AEC">
        <w:t>9</w:t>
      </w:r>
      <w:r w:rsidRPr="00026AEC">
        <w:t xml:space="preserve">. </w:t>
      </w:r>
      <w:r w:rsidR="00DB3765" w:rsidRPr="00026AEC">
        <w:t>I det følgende uddybes forudsætningerne for de tre største skattekilder: Indkomstskat, ejendomsskat og selskabsskat.</w:t>
      </w:r>
    </w:p>
    <w:p w14:paraId="47810AD5" w14:textId="77777777" w:rsidR="00DB3765" w:rsidRPr="00811DEC" w:rsidRDefault="00DB3765" w:rsidP="00811DEC">
      <w:pPr>
        <w:pStyle w:val="Overskrift2"/>
        <w:rPr>
          <w:rFonts w:eastAsia="Verdana"/>
        </w:rPr>
      </w:pPr>
      <w:bookmarkStart w:id="7" w:name="_Toc54707467"/>
      <w:bookmarkStart w:id="8" w:name="_Toc212451858"/>
      <w:r w:rsidRPr="00811DEC">
        <w:rPr>
          <w:rFonts w:eastAsia="Verdana"/>
        </w:rPr>
        <w:t>Indkomstskat</w:t>
      </w:r>
      <w:bookmarkEnd w:id="7"/>
      <w:bookmarkEnd w:id="8"/>
    </w:p>
    <w:p w14:paraId="03EDF32D" w14:textId="56E93661" w:rsidR="00F53941" w:rsidRPr="00026AEC" w:rsidRDefault="009708CB" w:rsidP="00811DEC">
      <w:r w:rsidRPr="00026AEC">
        <w:t xml:space="preserve">Væksten i </w:t>
      </w:r>
      <w:r w:rsidR="00E27357" w:rsidRPr="00026AEC">
        <w:t>udskrivningsgrundlaget i Aarhus er i 202</w:t>
      </w:r>
      <w:r w:rsidR="00E20D62" w:rsidRPr="00026AEC">
        <w:t>3</w:t>
      </w:r>
      <w:r w:rsidR="00E27357" w:rsidRPr="00026AEC">
        <w:t xml:space="preserve"> opgjort til </w:t>
      </w:r>
      <w:r w:rsidR="00DE109D" w:rsidRPr="00026AEC">
        <w:t>4</w:t>
      </w:r>
      <w:r w:rsidR="00E20D62" w:rsidRPr="00026AEC">
        <w:t>,3</w:t>
      </w:r>
      <w:r w:rsidR="00E27357" w:rsidRPr="00026AEC">
        <w:t xml:space="preserve"> %, hvilket er 0,</w:t>
      </w:r>
      <w:r w:rsidR="00E20D62" w:rsidRPr="00026AEC">
        <w:t>6</w:t>
      </w:r>
      <w:r w:rsidR="00E27357" w:rsidRPr="00026AEC">
        <w:t xml:space="preserve"> procentpoint </w:t>
      </w:r>
      <w:r w:rsidR="00E20D62" w:rsidRPr="00026AEC">
        <w:t>lavere</w:t>
      </w:r>
      <w:r w:rsidR="00E27357" w:rsidRPr="00026AEC">
        <w:t xml:space="preserve"> end væksten på landsplan. </w:t>
      </w:r>
      <w:r w:rsidR="00DE109D" w:rsidRPr="00026AEC">
        <w:t>D</w:t>
      </w:r>
      <w:r w:rsidR="00E27357" w:rsidRPr="00026AEC">
        <w:t xml:space="preserve">et </w:t>
      </w:r>
      <w:r w:rsidR="00287B06" w:rsidRPr="00026AEC">
        <w:t>er</w:t>
      </w:r>
      <w:r w:rsidR="00613A47">
        <w:t xml:space="preserve"> dog samtidig </w:t>
      </w:r>
      <w:r w:rsidR="00E20D62" w:rsidRPr="00026AEC">
        <w:t xml:space="preserve">0,2 </w:t>
      </w:r>
      <w:r w:rsidR="00DE109D" w:rsidRPr="00026AEC">
        <w:t xml:space="preserve">procentpoint </w:t>
      </w:r>
      <w:r w:rsidR="00E20D62" w:rsidRPr="00026AEC">
        <w:t>højere</w:t>
      </w:r>
      <w:r w:rsidR="00E27357" w:rsidRPr="00026AEC">
        <w:t xml:space="preserve"> end forudsat i budgettet for 202</w:t>
      </w:r>
      <w:r w:rsidR="00E20D62" w:rsidRPr="00026AEC">
        <w:t>5</w:t>
      </w:r>
      <w:r w:rsidR="00E27357" w:rsidRPr="00026AEC">
        <w:t xml:space="preserve">. </w:t>
      </w:r>
      <w:r w:rsidR="00E20D62" w:rsidRPr="00026AEC">
        <w:t xml:space="preserve">Aarhus har almindeligvis en vækst i udskrivningsgrundlaget, der overstiger væksten på landsplan. Udviklingen i 2023 er derfor overraskende, men </w:t>
      </w:r>
      <w:r w:rsidR="008D40E8">
        <w:t xml:space="preserve">vurderingen er, at der er tale om en engangseffekt, </w:t>
      </w:r>
      <w:r w:rsidR="00AD7989" w:rsidRPr="00026AEC">
        <w:t xml:space="preserve">idet </w:t>
      </w:r>
      <w:r w:rsidR="00026AEC">
        <w:t>en analyse viser</w:t>
      </w:r>
      <w:r w:rsidR="008D40E8">
        <w:t>,</w:t>
      </w:r>
      <w:r w:rsidR="00026AEC">
        <w:t xml:space="preserve"> at </w:t>
      </w:r>
      <w:r w:rsidR="00AD7989" w:rsidRPr="00026AEC">
        <w:t xml:space="preserve">det </w:t>
      </w:r>
      <w:r w:rsidR="00026AEC">
        <w:t>kan tilskrives øget</w:t>
      </w:r>
      <w:r w:rsidR="00AD7989" w:rsidRPr="00026AEC">
        <w:t xml:space="preserve"> </w:t>
      </w:r>
      <w:r w:rsidR="006C0F04" w:rsidRPr="00026AEC">
        <w:t>rentefradrag som følge af mange lånekonverteringer</w:t>
      </w:r>
      <w:r w:rsidR="003233A7" w:rsidRPr="00026AEC">
        <w:t xml:space="preserve"> i 2022, hvor renten steg</w:t>
      </w:r>
      <w:r w:rsidR="00E20D62" w:rsidRPr="00026AEC">
        <w:t>.</w:t>
      </w:r>
      <w:r w:rsidR="003233A7" w:rsidRPr="00026AEC">
        <w:t xml:space="preserve"> Denne vurdering</w:t>
      </w:r>
      <w:r w:rsidR="00E20D62" w:rsidRPr="00026AEC">
        <w:t xml:space="preserve"> </w:t>
      </w:r>
      <w:r w:rsidR="003233A7" w:rsidRPr="00026AEC">
        <w:t>understøttes af KL’s skatte- og tilskudsmodel.</w:t>
      </w:r>
    </w:p>
    <w:p w14:paraId="024D3D64" w14:textId="16C1E99A" w:rsidR="00F53941" w:rsidRPr="00026AEC" w:rsidRDefault="00F53941" w:rsidP="00811DEC">
      <w:r w:rsidRPr="00026AEC">
        <w:t>De foreløbige opgørelser af indkomståret 202</w:t>
      </w:r>
      <w:r w:rsidR="00E20D62" w:rsidRPr="00026AEC">
        <w:t>4</w:t>
      </w:r>
      <w:r w:rsidRPr="00026AEC">
        <w:t xml:space="preserve"> i Skats system peger på tidspunktet for budgettets udarbejdelse på et </w:t>
      </w:r>
      <w:r w:rsidR="00E20D62" w:rsidRPr="00026AEC">
        <w:t>væksttillæ</w:t>
      </w:r>
      <w:r w:rsidR="002478C6" w:rsidRPr="00026AEC">
        <w:t xml:space="preserve">g </w:t>
      </w:r>
      <w:r w:rsidRPr="00026AEC">
        <w:t xml:space="preserve">i Aarhus på </w:t>
      </w:r>
      <w:r w:rsidR="00E20D62" w:rsidRPr="00026AEC">
        <w:t>0,7</w:t>
      </w:r>
      <w:r w:rsidR="00442BB3" w:rsidRPr="00026AEC">
        <w:t xml:space="preserve"> procentpoint</w:t>
      </w:r>
      <w:r w:rsidR="00DE109D" w:rsidRPr="00026AEC">
        <w:t xml:space="preserve"> i forhold til landsplan</w:t>
      </w:r>
      <w:r w:rsidR="00287B06" w:rsidRPr="00026AEC">
        <w:t>. De</w:t>
      </w:r>
      <w:r w:rsidR="00442BB3" w:rsidRPr="00026AEC">
        <w:t xml:space="preserve">nne </w:t>
      </w:r>
      <w:r w:rsidR="00E20D62" w:rsidRPr="00026AEC">
        <w:t>mervækst</w:t>
      </w:r>
      <w:r w:rsidR="00442BB3" w:rsidRPr="00026AEC">
        <w:t xml:space="preserve"> er indarbejdet i budgettet. </w:t>
      </w:r>
    </w:p>
    <w:p w14:paraId="3F6F2BCA" w14:textId="2FB73347" w:rsidR="006C0F04" w:rsidRPr="00C15B55" w:rsidRDefault="00A043ED" w:rsidP="00811DEC">
      <w:pPr>
        <w:rPr>
          <w:color w:val="FF0000"/>
        </w:rPr>
      </w:pPr>
      <w:r w:rsidRPr="00026AEC">
        <w:t xml:space="preserve">Ved en kørsel af </w:t>
      </w:r>
      <w:r w:rsidR="000035D1" w:rsidRPr="00026AEC">
        <w:t>KL’s s</w:t>
      </w:r>
      <w:r w:rsidRPr="00026AEC">
        <w:t>katte- og tilskudsmodel med Aarhus’ egen aldersfordeling vises nedenstående væksttillæg for 20</w:t>
      </w:r>
      <w:r w:rsidR="00442BB3" w:rsidRPr="00026AEC">
        <w:t>2</w:t>
      </w:r>
      <w:r w:rsidR="002478C6" w:rsidRPr="00026AEC">
        <w:t>5</w:t>
      </w:r>
      <w:r w:rsidRPr="00026AEC">
        <w:t>-202</w:t>
      </w:r>
      <w:r w:rsidR="002478C6" w:rsidRPr="00026AEC">
        <w:t>9</w:t>
      </w:r>
      <w:r w:rsidRPr="00026AEC">
        <w:t>,</w:t>
      </w:r>
      <w:r w:rsidR="00107906" w:rsidRPr="00026AEC">
        <w:t xml:space="preserve"> som</w:t>
      </w:r>
      <w:r w:rsidR="00442BB3" w:rsidRPr="00026AEC">
        <w:t xml:space="preserve"> i lighed med tidligere år </w:t>
      </w:r>
      <w:r w:rsidR="00107906" w:rsidRPr="00026AEC">
        <w:t>er lagt til grund for budgettet</w:t>
      </w:r>
      <w:r w:rsidR="00287B06" w:rsidRPr="00026AEC">
        <w:t>s efterfølgende år</w:t>
      </w:r>
      <w:r w:rsidR="00107906" w:rsidRPr="00026AEC">
        <w:t xml:space="preserve">. </w:t>
      </w:r>
    </w:p>
    <w:tbl>
      <w:tblPr>
        <w:tblW w:w="5000" w:type="pct"/>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Pr>
      <w:tblGrid>
        <w:gridCol w:w="2890"/>
        <w:gridCol w:w="644"/>
        <w:gridCol w:w="644"/>
        <w:gridCol w:w="670"/>
        <w:gridCol w:w="670"/>
        <w:gridCol w:w="644"/>
        <w:gridCol w:w="644"/>
      </w:tblGrid>
      <w:tr w:rsidR="00026AEC" w:rsidRPr="00026AEC" w14:paraId="6D9332C6" w14:textId="6ACA4182" w:rsidTr="00F67654">
        <w:trPr>
          <w:trHeight w:val="397"/>
        </w:trPr>
        <w:tc>
          <w:tcPr>
            <w:tcW w:w="2123" w:type="pct"/>
            <w:tcBorders>
              <w:bottom w:val="single" w:sz="4" w:space="0" w:color="5F9F2A" w:themeColor="accent1"/>
            </w:tcBorders>
            <w:shd w:val="clear" w:color="auto" w:fill="5F9F2A" w:themeFill="accent1"/>
            <w:noWrap/>
            <w:vAlign w:val="center"/>
            <w:hideMark/>
          </w:tcPr>
          <w:p w14:paraId="54A1F3F1" w14:textId="77777777" w:rsidR="004A6D01" w:rsidRPr="00E13C26" w:rsidRDefault="004A6D01" w:rsidP="00E13C26">
            <w:pPr>
              <w:pStyle w:val="Tabeloverskrift"/>
            </w:pPr>
            <w:r w:rsidRPr="00E13C26">
              <w:t xml:space="preserve">1.000 kr. i løbende priser </w:t>
            </w:r>
          </w:p>
        </w:tc>
        <w:tc>
          <w:tcPr>
            <w:tcW w:w="473" w:type="pct"/>
            <w:tcBorders>
              <w:bottom w:val="single" w:sz="4" w:space="0" w:color="5F9F2A" w:themeColor="accent1"/>
            </w:tcBorders>
            <w:shd w:val="clear" w:color="auto" w:fill="5F9F2A" w:themeFill="accent1"/>
            <w:vAlign w:val="center"/>
            <w:hideMark/>
          </w:tcPr>
          <w:p w14:paraId="641843A2" w14:textId="452FF785" w:rsidR="004A6D01" w:rsidRPr="00E13C26" w:rsidRDefault="0049513E" w:rsidP="00E13C26">
            <w:pPr>
              <w:pStyle w:val="Tabeloverskrift"/>
            </w:pPr>
            <w:r w:rsidRPr="00E13C26">
              <w:t>2024</w:t>
            </w:r>
          </w:p>
        </w:tc>
        <w:tc>
          <w:tcPr>
            <w:tcW w:w="473" w:type="pct"/>
            <w:tcBorders>
              <w:bottom w:val="single" w:sz="4" w:space="0" w:color="5F9F2A" w:themeColor="accent1"/>
            </w:tcBorders>
            <w:shd w:val="clear" w:color="auto" w:fill="5F9F2A" w:themeFill="accent1"/>
            <w:vAlign w:val="center"/>
            <w:hideMark/>
          </w:tcPr>
          <w:p w14:paraId="11E78AF3" w14:textId="3CCBAE68" w:rsidR="004A6D01" w:rsidRPr="00E13C26" w:rsidRDefault="0049513E" w:rsidP="00E13C26">
            <w:pPr>
              <w:pStyle w:val="Tabeloverskrift"/>
            </w:pPr>
            <w:r w:rsidRPr="00E13C26">
              <w:t>2025</w:t>
            </w:r>
          </w:p>
        </w:tc>
        <w:tc>
          <w:tcPr>
            <w:tcW w:w="492" w:type="pct"/>
            <w:tcBorders>
              <w:bottom w:val="single" w:sz="4" w:space="0" w:color="5F9F2A" w:themeColor="accent1"/>
            </w:tcBorders>
            <w:shd w:val="clear" w:color="auto" w:fill="5F9F2A" w:themeFill="accent1"/>
            <w:vAlign w:val="center"/>
            <w:hideMark/>
          </w:tcPr>
          <w:p w14:paraId="7ACA51BC" w14:textId="7F8F4BCB" w:rsidR="004A6D01" w:rsidRPr="00E13C26" w:rsidRDefault="0049513E" w:rsidP="00E13C26">
            <w:pPr>
              <w:pStyle w:val="Tabeloverskrift"/>
            </w:pPr>
            <w:r w:rsidRPr="00E13C26">
              <w:t>2026</w:t>
            </w:r>
          </w:p>
        </w:tc>
        <w:tc>
          <w:tcPr>
            <w:tcW w:w="492" w:type="pct"/>
            <w:tcBorders>
              <w:bottom w:val="single" w:sz="4" w:space="0" w:color="5F9F2A" w:themeColor="accent1"/>
            </w:tcBorders>
            <w:shd w:val="clear" w:color="auto" w:fill="5F9F2A" w:themeFill="accent1"/>
            <w:vAlign w:val="center"/>
          </w:tcPr>
          <w:p w14:paraId="3EAE81BF" w14:textId="2559E8E6" w:rsidR="004A6D01" w:rsidRPr="00E13C26" w:rsidRDefault="0049513E" w:rsidP="00E13C26">
            <w:pPr>
              <w:pStyle w:val="Tabeloverskrift"/>
            </w:pPr>
            <w:r w:rsidRPr="00E13C26">
              <w:t>2027</w:t>
            </w:r>
          </w:p>
        </w:tc>
        <w:tc>
          <w:tcPr>
            <w:tcW w:w="473" w:type="pct"/>
            <w:tcBorders>
              <w:bottom w:val="single" w:sz="4" w:space="0" w:color="5F9F2A" w:themeColor="accent1"/>
            </w:tcBorders>
            <w:shd w:val="clear" w:color="auto" w:fill="5F9F2A" w:themeFill="accent1"/>
            <w:vAlign w:val="center"/>
            <w:hideMark/>
          </w:tcPr>
          <w:p w14:paraId="47B45E51" w14:textId="759949E5" w:rsidR="004A6D01" w:rsidRPr="00E13C26" w:rsidRDefault="0049513E" w:rsidP="00E13C26">
            <w:pPr>
              <w:pStyle w:val="Tabeloverskrift"/>
            </w:pPr>
            <w:r w:rsidRPr="00E13C26">
              <w:t>2028</w:t>
            </w:r>
          </w:p>
        </w:tc>
        <w:tc>
          <w:tcPr>
            <w:tcW w:w="473" w:type="pct"/>
            <w:tcBorders>
              <w:bottom w:val="single" w:sz="4" w:space="0" w:color="5F9F2A" w:themeColor="accent1"/>
            </w:tcBorders>
            <w:shd w:val="clear" w:color="auto" w:fill="5F9F2A" w:themeFill="accent1"/>
            <w:vAlign w:val="center"/>
          </w:tcPr>
          <w:p w14:paraId="6C3FF86F" w14:textId="7D27BDB3" w:rsidR="004A6D01" w:rsidRPr="00E13C26" w:rsidRDefault="0049513E" w:rsidP="00E13C26">
            <w:pPr>
              <w:pStyle w:val="Tabeloverskrift"/>
            </w:pPr>
            <w:r w:rsidRPr="00E13C26">
              <w:t>2029</w:t>
            </w:r>
          </w:p>
        </w:tc>
      </w:tr>
      <w:tr w:rsidR="00026AEC" w:rsidRPr="00026AEC" w14:paraId="3EFCE3B7" w14:textId="50E6BF1D" w:rsidTr="00E4589A">
        <w:trPr>
          <w:trHeight w:val="284"/>
        </w:trPr>
        <w:tc>
          <w:tcPr>
            <w:tcW w:w="2123" w:type="pct"/>
            <w:tcBorders>
              <w:top w:val="single" w:sz="4" w:space="0" w:color="5F9F2A" w:themeColor="accent1"/>
              <w:bottom w:val="single" w:sz="4" w:space="0" w:color="5F9F2A" w:themeColor="accent1"/>
              <w:right w:val="single" w:sz="4" w:space="0" w:color="5F9F2A" w:themeColor="accent1"/>
            </w:tcBorders>
            <w:hideMark/>
          </w:tcPr>
          <w:p w14:paraId="430FBE9B" w14:textId="6B7DB0BD" w:rsidR="00E4589A" w:rsidRPr="00811DEC" w:rsidRDefault="00E4589A" w:rsidP="00811DEC">
            <w:pPr>
              <w:pStyle w:val="Tabeludfyldningiret"/>
              <w:jc w:val="left"/>
            </w:pPr>
            <w:r w:rsidRPr="00811DEC">
              <w:t>Væksttillæg</w:t>
            </w:r>
            <w:r w:rsidR="00287B06" w:rsidRPr="00811DEC">
              <w:t xml:space="preserve"> (%-point)</w:t>
            </w:r>
          </w:p>
        </w:tc>
        <w:tc>
          <w:tcPr>
            <w:tcW w:w="473" w:type="pct"/>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4E1010B5" w14:textId="1121A11B" w:rsidR="00E4589A" w:rsidRPr="00811DEC" w:rsidRDefault="0049513E" w:rsidP="00811DEC">
            <w:pPr>
              <w:pStyle w:val="Tabeludfyldningiret"/>
            </w:pPr>
            <w:r w:rsidRPr="00811DEC">
              <w:t>0,7</w:t>
            </w:r>
          </w:p>
        </w:tc>
        <w:tc>
          <w:tcPr>
            <w:tcW w:w="473" w:type="pct"/>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595DC5C5" w14:textId="05240674" w:rsidR="00E4589A" w:rsidRPr="00811DEC" w:rsidRDefault="0049513E" w:rsidP="00811DEC">
            <w:pPr>
              <w:pStyle w:val="Tabeludfyldningiret"/>
            </w:pPr>
            <w:r w:rsidRPr="00811DEC">
              <w:t>0,9</w:t>
            </w:r>
          </w:p>
        </w:tc>
        <w:tc>
          <w:tcPr>
            <w:tcW w:w="492" w:type="pct"/>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7D79047C" w14:textId="7A7879C9" w:rsidR="00E4589A" w:rsidRPr="00811DEC" w:rsidRDefault="0049513E" w:rsidP="00811DEC">
            <w:pPr>
              <w:pStyle w:val="Tabeludfyldningiret"/>
            </w:pPr>
            <w:r w:rsidRPr="00811DEC">
              <w:t>1,</w:t>
            </w:r>
            <w:r w:rsidR="00026AEC" w:rsidRPr="00811DEC">
              <w:t>5</w:t>
            </w:r>
          </w:p>
        </w:tc>
        <w:tc>
          <w:tcPr>
            <w:tcW w:w="492" w:type="pct"/>
            <w:tcBorders>
              <w:top w:val="single" w:sz="4" w:space="0" w:color="5F9F2A" w:themeColor="accent1"/>
              <w:left w:val="single" w:sz="4" w:space="0" w:color="5F9F2A" w:themeColor="accent1"/>
              <w:bottom w:val="single" w:sz="4" w:space="0" w:color="5F9F2A" w:themeColor="accent1"/>
              <w:right w:val="single" w:sz="4" w:space="0" w:color="5F9F2A" w:themeColor="accent1"/>
            </w:tcBorders>
            <w:vAlign w:val="bottom"/>
          </w:tcPr>
          <w:p w14:paraId="26ADF4CC" w14:textId="1D4EFFF1" w:rsidR="00E4589A" w:rsidRPr="00811DEC" w:rsidRDefault="0049513E" w:rsidP="00811DEC">
            <w:pPr>
              <w:pStyle w:val="Tabeludfyldningiret"/>
            </w:pPr>
            <w:r w:rsidRPr="00811DEC">
              <w:t>1,6</w:t>
            </w:r>
          </w:p>
        </w:tc>
        <w:tc>
          <w:tcPr>
            <w:tcW w:w="473" w:type="pct"/>
            <w:tcBorders>
              <w:top w:val="single" w:sz="4" w:space="0" w:color="5F9F2A" w:themeColor="accent1"/>
              <w:left w:val="single" w:sz="4" w:space="0" w:color="5F9F2A" w:themeColor="accent1"/>
              <w:bottom w:val="single" w:sz="4" w:space="0" w:color="5F9F2A" w:themeColor="accent1"/>
              <w:right w:val="single" w:sz="4" w:space="0" w:color="5F9F2A" w:themeColor="accent1"/>
            </w:tcBorders>
            <w:noWrap/>
            <w:vAlign w:val="bottom"/>
          </w:tcPr>
          <w:p w14:paraId="7A94F160" w14:textId="1B4A3314" w:rsidR="00E4589A" w:rsidRPr="00811DEC" w:rsidRDefault="0049513E" w:rsidP="00811DEC">
            <w:pPr>
              <w:pStyle w:val="Tabeludfyldningiret"/>
            </w:pPr>
            <w:r w:rsidRPr="00811DEC">
              <w:t>1,3</w:t>
            </w:r>
          </w:p>
        </w:tc>
        <w:tc>
          <w:tcPr>
            <w:tcW w:w="473" w:type="pct"/>
            <w:tcBorders>
              <w:top w:val="single" w:sz="4" w:space="0" w:color="5F9F2A" w:themeColor="accent1"/>
              <w:left w:val="single" w:sz="4" w:space="0" w:color="5F9F2A" w:themeColor="accent1"/>
              <w:bottom w:val="single" w:sz="4" w:space="0" w:color="5F9F2A" w:themeColor="accent1"/>
              <w:right w:val="single" w:sz="4" w:space="0" w:color="5F9F2A" w:themeColor="accent1"/>
            </w:tcBorders>
            <w:vAlign w:val="bottom"/>
          </w:tcPr>
          <w:p w14:paraId="3F3E91B4" w14:textId="5BE09A20" w:rsidR="00E4589A" w:rsidRPr="00811DEC" w:rsidRDefault="0049513E" w:rsidP="00811DEC">
            <w:pPr>
              <w:pStyle w:val="Tabeludfyldningiret"/>
            </w:pPr>
            <w:r w:rsidRPr="00811DEC">
              <w:t>1,0</w:t>
            </w:r>
          </w:p>
        </w:tc>
      </w:tr>
    </w:tbl>
    <w:p w14:paraId="4A5910A5" w14:textId="55E065CD" w:rsidR="00C249BE" w:rsidRPr="00C15B55" w:rsidRDefault="00C249BE" w:rsidP="00A043ED">
      <w:pPr>
        <w:rPr>
          <w:color w:val="FF0000"/>
        </w:rPr>
      </w:pPr>
    </w:p>
    <w:p w14:paraId="0CE9FD90" w14:textId="01FC0D89" w:rsidR="00054D74" w:rsidRPr="00026AEC" w:rsidRDefault="009F3028" w:rsidP="00811DEC">
      <w:r w:rsidRPr="00026AEC">
        <w:t>I 202</w:t>
      </w:r>
      <w:r w:rsidR="00054D74" w:rsidRPr="00026AEC">
        <w:t>5 er der budgetteret med et væksttillæg, der er 0,2 procentpoint lavere end forudsat i budget 2025. I 2026-2029 er der omvendt budgettet med et væksttillæg, der er mellem 0,1 og 0,5 procentpoint højere</w:t>
      </w:r>
      <w:r w:rsidR="00C70C28" w:rsidRPr="00026AEC">
        <w:t>,</w:t>
      </w:r>
      <w:r w:rsidR="00054D74" w:rsidRPr="00026AEC">
        <w:t xml:space="preserve"> end </w:t>
      </w:r>
      <w:r w:rsidR="00F04C73" w:rsidRPr="00026AEC">
        <w:t>det blev skønnet</w:t>
      </w:r>
      <w:r w:rsidR="00054D74" w:rsidRPr="00026AEC">
        <w:t xml:space="preserve"> i budget 2025. </w:t>
      </w:r>
    </w:p>
    <w:p w14:paraId="4F399833" w14:textId="7153D883" w:rsidR="00DB3765" w:rsidRPr="00026AEC" w:rsidRDefault="00DB3765" w:rsidP="00811DEC">
      <w:r w:rsidRPr="00026AEC">
        <w:t>Som regel følge</w:t>
      </w:r>
      <w:r w:rsidR="00AD7099" w:rsidRPr="00026AEC">
        <w:t>r</w:t>
      </w:r>
      <w:r w:rsidRPr="00026AEC">
        <w:t xml:space="preserve"> væksttillægget i udskrivningsgrundlaget </w:t>
      </w:r>
      <w:r w:rsidR="00AD7099" w:rsidRPr="00026AEC">
        <w:t>mervæksten</w:t>
      </w:r>
      <w:r w:rsidRPr="00026AEC">
        <w:t xml:space="preserve"> i befolkningen i Aarhus</w:t>
      </w:r>
      <w:r w:rsidR="00AD7099" w:rsidRPr="00026AEC">
        <w:t xml:space="preserve"> i forhold til landsplan</w:t>
      </w:r>
      <w:r w:rsidRPr="00026AEC">
        <w:t>, og da der i budgetperioden forventes en mervækst i befolkningen i</w:t>
      </w:r>
      <w:r w:rsidR="008D40E8">
        <w:t xml:space="preserve"> </w:t>
      </w:r>
      <w:r w:rsidRPr="00026AEC">
        <w:t>f</w:t>
      </w:r>
      <w:r w:rsidR="008D40E8">
        <w:t>orhold til</w:t>
      </w:r>
      <w:r w:rsidRPr="00026AEC">
        <w:t xml:space="preserve"> landsplan, budgetteres der </w:t>
      </w:r>
      <w:r w:rsidR="00F04C73" w:rsidRPr="00026AEC">
        <w:t xml:space="preserve">som tidligere </w:t>
      </w:r>
      <w:r w:rsidRPr="00026AEC">
        <w:t>med de skønnede væks</w:t>
      </w:r>
      <w:r w:rsidR="00333BCD" w:rsidRPr="00026AEC">
        <w:t>t</w:t>
      </w:r>
      <w:r w:rsidRPr="00026AEC">
        <w:t>tillæg fra KL’s model.</w:t>
      </w:r>
      <w:r w:rsidR="00AB32D6" w:rsidRPr="00026AEC">
        <w:t xml:space="preserve"> </w:t>
      </w:r>
    </w:p>
    <w:p w14:paraId="6F90B504" w14:textId="03F5D4B7" w:rsidR="00DB3765" w:rsidRPr="00026AEC" w:rsidRDefault="00FF1FF9" w:rsidP="00811DEC">
      <w:r w:rsidRPr="00026AEC">
        <w:t>Der budgetteres i alle år med en udskrivningsprocent på 24,52</w:t>
      </w:r>
      <w:r w:rsidR="00957CE4">
        <w:t xml:space="preserve"> </w:t>
      </w:r>
      <w:r w:rsidRPr="00026AEC">
        <w:t>%.</w:t>
      </w:r>
      <w:r w:rsidR="00DB3765" w:rsidRPr="00026AEC">
        <w:t xml:space="preserve"> </w:t>
      </w:r>
    </w:p>
    <w:p w14:paraId="6A45B0A5" w14:textId="77777777" w:rsidR="00DB3765" w:rsidRPr="00811DEC" w:rsidRDefault="00DB3765" w:rsidP="00811DEC">
      <w:pPr>
        <w:pStyle w:val="Overskrift3"/>
        <w:rPr>
          <w:rFonts w:eastAsiaTheme="minorHAnsi"/>
        </w:rPr>
      </w:pPr>
      <w:r w:rsidRPr="00811DEC">
        <w:t>Statsgaranti vs. selvbudgettering </w:t>
      </w:r>
    </w:p>
    <w:p w14:paraId="18142E34" w14:textId="4B4E505B" w:rsidR="00A043ED" w:rsidRDefault="00A043ED" w:rsidP="00811DEC">
      <w:r w:rsidRPr="00026AEC">
        <w:t xml:space="preserve">Staten har </w:t>
      </w:r>
      <w:r w:rsidR="001E14E7" w:rsidRPr="00026AEC">
        <w:t>siden</w:t>
      </w:r>
      <w:r w:rsidRPr="00026AEC">
        <w:t xml:space="preserve"> </w:t>
      </w:r>
      <w:r w:rsidR="00287B06" w:rsidRPr="00026AEC">
        <w:t xml:space="preserve">budget </w:t>
      </w:r>
      <w:r w:rsidRPr="00026AEC">
        <w:t xml:space="preserve">1996 givet kommunerne mulighed for at modtage en garanti for væksten i udskrivningsgrundlaget. Den enkelte kommune skal beslutte, om man vil tage imod garantien, eller om man vil anvende </w:t>
      </w:r>
      <w:r w:rsidR="008D40E8">
        <w:t xml:space="preserve">sit eget skøn for vækst i </w:t>
      </w:r>
      <w:r w:rsidRPr="00026AEC">
        <w:t>udskrivningsgrundlaget</w:t>
      </w:r>
      <w:r w:rsidR="008D40E8">
        <w:t xml:space="preserve"> (selvbudgettering)</w:t>
      </w:r>
      <w:r w:rsidRPr="00026AEC">
        <w:t xml:space="preserve">. Statsgarantien </w:t>
      </w:r>
      <w:r w:rsidRPr="00026AEC">
        <w:lastRenderedPageBreak/>
        <w:t xml:space="preserve">indebærer, at en eventuel merstigning i de selvangivne indkomster </w:t>
      </w:r>
      <w:r w:rsidR="008D40E8">
        <w:t xml:space="preserve">i forhold til det budgetterede </w:t>
      </w:r>
      <w:r w:rsidRPr="00026AEC">
        <w:t xml:space="preserve">tilfalder staten og ikke den pågældende kommune. Omvendt er risikoen ved at vælge selvbudgettering, at en eventuel lavere vækst end garanteret af staten skal finansieres af den kommune, der har valgt selvbudgettering. Valget mellem statsgaranti og selvbudgettering omfatter både væksten i udskrivningsgrundlaget og </w:t>
      </w:r>
      <w:r w:rsidR="008D40E8">
        <w:t xml:space="preserve">fastlæggelsen af udligningsbeløb og de </w:t>
      </w:r>
      <w:r w:rsidRPr="00026AEC">
        <w:t>generelle tilskud.</w:t>
      </w:r>
    </w:p>
    <w:p w14:paraId="456B92E6" w14:textId="4C84916A" w:rsidR="00E67789" w:rsidRPr="00E67789" w:rsidRDefault="00E67789" w:rsidP="00811DEC">
      <w:pPr>
        <w:rPr>
          <w:i/>
          <w:iCs/>
        </w:rPr>
      </w:pPr>
      <w:r w:rsidRPr="00E67789">
        <w:rPr>
          <w:i/>
          <w:iCs/>
        </w:rPr>
        <w:t>Historiske valg</w:t>
      </w:r>
    </w:p>
    <w:p w14:paraId="4C8E5160" w14:textId="4BCFBC2E" w:rsidR="00E67789" w:rsidRPr="00026AEC" w:rsidRDefault="00E67789" w:rsidP="00E67789">
      <w:r w:rsidRPr="00026AEC">
        <w:t xml:space="preserve">I Budget 2023 besluttede byrådet </w:t>
      </w:r>
      <w:r>
        <w:t>-</w:t>
      </w:r>
      <w:r w:rsidRPr="00026AEC">
        <w:t xml:space="preserve"> i lighed med Budget 2021 og Budget 2022</w:t>
      </w:r>
      <w:r>
        <w:t xml:space="preserve"> -</w:t>
      </w:r>
      <w:r w:rsidRPr="00026AEC">
        <w:t xml:space="preserve"> at budgettere med statsgaranti, da verdensøkonomien fortsat var præget af stor usikkerhed efter corona og med Ruslands invasion i Ukraine. Byrådet valgte i Budget 2024 og Budget 2025 omvendt selvbudgettering som grundlaget for budgetteringen af skatter og generelle tilskud.</w:t>
      </w:r>
    </w:p>
    <w:p w14:paraId="0AD4BC26" w14:textId="77777777" w:rsidR="00E67789" w:rsidRPr="00026AEC" w:rsidRDefault="00E67789" w:rsidP="00E67789">
      <w:r w:rsidRPr="00026AEC">
        <w:t>Mange andre kommuner valgte i disse år ligeledes at selvbudgettere som følge af massive forhøjelser af regeringens skatteskøn efter fastlæggelsen af det statsgaranterede niveau. Det har medført store forventede efterreguleringer i bloktilskuddet, som også rammer de kommuner, der har valgt statsgaranti. På grund af denne uhensigtsmæssige situation, er KL og regeringen blevet enige om en ordning for 2024 og 2025, hvor de kommuner, der har valgt statsgaranti, ikke stilles dårligere, end hvis de havde selvbudgetteret.</w:t>
      </w:r>
    </w:p>
    <w:p w14:paraId="0E128E8D" w14:textId="5EB3A369" w:rsidR="00924249" w:rsidRPr="00E67789" w:rsidRDefault="00E67789" w:rsidP="00E67789">
      <w:pPr>
        <w:rPr>
          <w:i/>
          <w:iCs/>
        </w:rPr>
      </w:pPr>
      <w:r w:rsidRPr="00E67789">
        <w:rPr>
          <w:i/>
          <w:iCs/>
        </w:rPr>
        <w:t>Valg i budget 2026</w:t>
      </w:r>
    </w:p>
    <w:p w14:paraId="57A5FDF7" w14:textId="77777777" w:rsidR="00E67789" w:rsidRPr="0061269C" w:rsidRDefault="00E67789" w:rsidP="00E67789">
      <w:r w:rsidRPr="00026AEC">
        <w:t>Fra 2026 er selvbudgetteringsordningen ændret</w:t>
      </w:r>
      <w:r>
        <w:t xml:space="preserve">. Formålet med ændringen er at </w:t>
      </w:r>
      <w:r w:rsidRPr="00713A4B">
        <w:t>sikre større budgetsikkerhed for de kommuner, der budgettere</w:t>
      </w:r>
      <w:r>
        <w:t>r</w:t>
      </w:r>
      <w:r w:rsidRPr="00713A4B">
        <w:t xml:space="preserve"> med statsgaranti</w:t>
      </w:r>
      <w:r>
        <w:t xml:space="preserve">. Disse kommuner er i 2024 og 2025 blevet ramt af store reduktioner i bloktilskuddet som følge af høje gevinster for de selvbudgetterende kommuner. Med ændringen gives vækstkommuner fortsat mulighed for fleksibiliteten i selvbudgetteringsordningen, men valget er mindre følsomt overfor potentielle økonomiske udsving i landet, idet </w:t>
      </w:r>
      <w:r w:rsidRPr="00026AEC">
        <w:t>efterreguleringen kun sker på baggrund af udviklingen lokalt</w:t>
      </w:r>
      <w:r>
        <w:t>.</w:t>
      </w:r>
      <w:r w:rsidRPr="00026AEC">
        <w:t xml:space="preserve"> For at sikre yderligere stabilitet er der fastlagt en øvre grænse for den samlede selvbudgetteringsgevinst på 1,5 mia. kr.</w:t>
      </w:r>
    </w:p>
    <w:p w14:paraId="427031AF" w14:textId="7875BAC9" w:rsidR="0061269C" w:rsidRPr="0061269C" w:rsidRDefault="0061269C" w:rsidP="00811DEC">
      <w:r>
        <w:t>Byrådet har ved vedtagelsen af budgettet for 2026 valgt at anvende selvbudgettering til budgettering af skatter og generelle tilskud. Gevinsten ved selvbudgettering skønnes ud fra KL’s skatte- og tilskudsmodel på nuværende tidspunkt</w:t>
      </w:r>
      <w:r w:rsidR="00E67789">
        <w:t xml:space="preserve"> at udgøre</w:t>
      </w:r>
      <w:r>
        <w:t xml:space="preserve"> 133 mio. kr. </w:t>
      </w:r>
      <w:r w:rsidRPr="0061269C">
        <w:t>Der vil altid være en vis usikkerhed forbundet med valget</w:t>
      </w:r>
      <w:r w:rsidR="00E67789">
        <w:t>,</w:t>
      </w:r>
      <w:r w:rsidRPr="0061269C">
        <w:t xml:space="preserve"> og det endelige resultat vil </w:t>
      </w:r>
      <w:r w:rsidR="00E67789">
        <w:t>først kunne opgøres i</w:t>
      </w:r>
      <w:r w:rsidRPr="0061269C">
        <w:t xml:space="preserve"> maj 202</w:t>
      </w:r>
      <w:r>
        <w:t>8</w:t>
      </w:r>
      <w:r w:rsidRPr="0061269C">
        <w:t>. Gevinsten er derfor afsat på en reserve, som reguleres i takt med, at forventningerne ændrer sig.</w:t>
      </w:r>
    </w:p>
    <w:p w14:paraId="52E9D6D1" w14:textId="77777777" w:rsidR="00DB3765" w:rsidRPr="00811DEC" w:rsidRDefault="00DB3765" w:rsidP="00811DEC">
      <w:pPr>
        <w:pStyle w:val="Overskrift3"/>
      </w:pPr>
      <w:r w:rsidRPr="00811DEC">
        <w:t>Overblik over forudsætningerne for indkomstskatten</w:t>
      </w:r>
    </w:p>
    <w:p w14:paraId="6FE3033D" w14:textId="395A683A" w:rsidR="00DB3765" w:rsidRPr="0061269C" w:rsidRDefault="00DB3765" w:rsidP="00811DEC">
      <w:r w:rsidRPr="0061269C">
        <w:t xml:space="preserve">Af tabellen </w:t>
      </w:r>
      <w:r w:rsidR="0090109A" w:rsidRPr="0061269C">
        <w:t xml:space="preserve">nedenfor </w:t>
      </w:r>
      <w:r w:rsidRPr="0061269C">
        <w:t>fremgår for perioden 202</w:t>
      </w:r>
      <w:r w:rsidR="001201FD" w:rsidRPr="0061269C">
        <w:t>4</w:t>
      </w:r>
      <w:r w:rsidRPr="0061269C">
        <w:t xml:space="preserve"> til 202</w:t>
      </w:r>
      <w:r w:rsidR="001201FD" w:rsidRPr="0061269C">
        <w:t>9</w:t>
      </w:r>
      <w:r w:rsidRPr="0061269C">
        <w:t xml:space="preserve">, hvad der er budgetteret med </w:t>
      </w:r>
      <w:r w:rsidR="00E74A1F" w:rsidRPr="0061269C">
        <w:t>i forhold til henholdsv</w:t>
      </w:r>
      <w:r w:rsidR="000734E8" w:rsidRPr="0061269C">
        <w:t>i</w:t>
      </w:r>
      <w:r w:rsidR="00E74A1F" w:rsidRPr="0061269C">
        <w:t>s</w:t>
      </w:r>
      <w:r w:rsidRPr="0061269C">
        <w:t xml:space="preserve"> udskrivningsgrundlag, vækstprocenter, skatteprocenter og dertilhørende forskudsbeløb af indkomstskatteprovenu:</w:t>
      </w:r>
    </w:p>
    <w:tbl>
      <w:tblPr>
        <w:tblW w:w="10656"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Pr>
      <w:tblGrid>
        <w:gridCol w:w="3756"/>
        <w:gridCol w:w="1150"/>
        <w:gridCol w:w="1150"/>
        <w:gridCol w:w="1150"/>
        <w:gridCol w:w="1150"/>
        <w:gridCol w:w="1150"/>
        <w:gridCol w:w="1150"/>
      </w:tblGrid>
      <w:tr w:rsidR="00D20C73" w:rsidRPr="00D20C73" w14:paraId="3E428505" w14:textId="77777777" w:rsidTr="00C1032A">
        <w:trPr>
          <w:trHeight w:val="258"/>
        </w:trPr>
        <w:tc>
          <w:tcPr>
            <w:tcW w:w="3756" w:type="dxa"/>
            <w:shd w:val="clear" w:color="auto" w:fill="5F9F2A" w:themeFill="accent1"/>
            <w:noWrap/>
            <w:vAlign w:val="center"/>
            <w:hideMark/>
          </w:tcPr>
          <w:p w14:paraId="68546EBD" w14:textId="77777777" w:rsidR="007729E2" w:rsidRPr="00E13C26" w:rsidRDefault="007729E2" w:rsidP="00E13C26">
            <w:pPr>
              <w:pStyle w:val="Tabeloverskrift"/>
            </w:pPr>
            <w:r w:rsidRPr="00E13C26">
              <w:t xml:space="preserve">Mio. kr., løbende priser </w:t>
            </w:r>
          </w:p>
        </w:tc>
        <w:tc>
          <w:tcPr>
            <w:tcW w:w="1150" w:type="dxa"/>
            <w:tcBorders>
              <w:bottom w:val="single" w:sz="4" w:space="0" w:color="5F9F2A" w:themeColor="accent1"/>
            </w:tcBorders>
            <w:shd w:val="clear" w:color="auto" w:fill="5F9F2A" w:themeFill="accent1"/>
            <w:vAlign w:val="center"/>
          </w:tcPr>
          <w:p w14:paraId="0A293130" w14:textId="4518AADF" w:rsidR="007729E2" w:rsidRPr="00E13C26" w:rsidRDefault="007729E2" w:rsidP="00E13C26">
            <w:pPr>
              <w:pStyle w:val="Tabeloverskrift"/>
              <w:jc w:val="center"/>
            </w:pPr>
            <w:r w:rsidRPr="00E13C26">
              <w:t>202</w:t>
            </w:r>
            <w:r w:rsidR="001201FD" w:rsidRPr="00E13C26">
              <w:t>4</w:t>
            </w:r>
          </w:p>
        </w:tc>
        <w:tc>
          <w:tcPr>
            <w:tcW w:w="1150" w:type="dxa"/>
            <w:tcBorders>
              <w:bottom w:val="single" w:sz="4" w:space="0" w:color="5F9F2A" w:themeColor="accent1"/>
            </w:tcBorders>
            <w:shd w:val="clear" w:color="auto" w:fill="5F9F2A" w:themeFill="accent1"/>
            <w:vAlign w:val="center"/>
            <w:hideMark/>
          </w:tcPr>
          <w:p w14:paraId="6950C0D2" w14:textId="7536DD6B" w:rsidR="007729E2" w:rsidRPr="00E13C26" w:rsidRDefault="001201FD" w:rsidP="00E13C26">
            <w:pPr>
              <w:pStyle w:val="Tabeloverskrift"/>
              <w:jc w:val="center"/>
            </w:pPr>
            <w:r w:rsidRPr="00E13C26">
              <w:t>2025</w:t>
            </w:r>
          </w:p>
        </w:tc>
        <w:tc>
          <w:tcPr>
            <w:tcW w:w="1150" w:type="dxa"/>
            <w:tcBorders>
              <w:bottom w:val="single" w:sz="4" w:space="0" w:color="5F9F2A" w:themeColor="accent1"/>
            </w:tcBorders>
            <w:shd w:val="clear" w:color="auto" w:fill="5F9F2A" w:themeFill="accent1"/>
            <w:vAlign w:val="center"/>
            <w:hideMark/>
          </w:tcPr>
          <w:p w14:paraId="5A0235F1" w14:textId="5D49137A" w:rsidR="007729E2" w:rsidRPr="00E13C26" w:rsidRDefault="001201FD" w:rsidP="00E13C26">
            <w:pPr>
              <w:pStyle w:val="Tabeloverskrift"/>
              <w:jc w:val="center"/>
            </w:pPr>
            <w:r w:rsidRPr="00E13C26">
              <w:t>2026</w:t>
            </w:r>
          </w:p>
        </w:tc>
        <w:tc>
          <w:tcPr>
            <w:tcW w:w="1150" w:type="dxa"/>
            <w:tcBorders>
              <w:bottom w:val="single" w:sz="4" w:space="0" w:color="5F9F2A" w:themeColor="accent1"/>
            </w:tcBorders>
            <w:shd w:val="clear" w:color="auto" w:fill="5F9F2A" w:themeFill="accent1"/>
            <w:vAlign w:val="center"/>
            <w:hideMark/>
          </w:tcPr>
          <w:p w14:paraId="21DC4FD8" w14:textId="0A619FFC" w:rsidR="007729E2" w:rsidRPr="00E13C26" w:rsidRDefault="001201FD" w:rsidP="00E13C26">
            <w:pPr>
              <w:pStyle w:val="Tabeloverskrift"/>
              <w:jc w:val="center"/>
            </w:pPr>
            <w:r w:rsidRPr="00E13C26">
              <w:t>2027</w:t>
            </w:r>
          </w:p>
        </w:tc>
        <w:tc>
          <w:tcPr>
            <w:tcW w:w="1150" w:type="dxa"/>
            <w:tcBorders>
              <w:bottom w:val="single" w:sz="4" w:space="0" w:color="5F9F2A" w:themeColor="accent1"/>
            </w:tcBorders>
            <w:shd w:val="clear" w:color="auto" w:fill="5F9F2A" w:themeFill="accent1"/>
            <w:vAlign w:val="center"/>
          </w:tcPr>
          <w:p w14:paraId="1BEFDD86" w14:textId="40EAE84D" w:rsidR="007729E2" w:rsidRPr="00E13C26" w:rsidRDefault="001201FD" w:rsidP="00E13C26">
            <w:pPr>
              <w:pStyle w:val="Tabeloverskrift"/>
              <w:jc w:val="center"/>
            </w:pPr>
            <w:r w:rsidRPr="00E13C26">
              <w:t>2028</w:t>
            </w:r>
          </w:p>
        </w:tc>
        <w:tc>
          <w:tcPr>
            <w:tcW w:w="1150" w:type="dxa"/>
            <w:tcBorders>
              <w:bottom w:val="single" w:sz="4" w:space="0" w:color="5F9F2A" w:themeColor="accent1"/>
            </w:tcBorders>
            <w:shd w:val="clear" w:color="auto" w:fill="5F9F2A" w:themeFill="accent1"/>
            <w:vAlign w:val="center"/>
            <w:hideMark/>
          </w:tcPr>
          <w:p w14:paraId="5C121F2A" w14:textId="70D2D47F" w:rsidR="007729E2" w:rsidRPr="00E13C26" w:rsidRDefault="001201FD" w:rsidP="00E13C26">
            <w:pPr>
              <w:pStyle w:val="Tabeloverskrift"/>
              <w:jc w:val="center"/>
            </w:pPr>
            <w:r w:rsidRPr="00E13C26">
              <w:t>2029</w:t>
            </w:r>
          </w:p>
        </w:tc>
      </w:tr>
      <w:tr w:rsidR="00D20C73" w:rsidRPr="00D20C73" w14:paraId="1166D21D" w14:textId="77777777" w:rsidTr="00811DEC">
        <w:trPr>
          <w:trHeight w:val="488"/>
        </w:trPr>
        <w:tc>
          <w:tcPr>
            <w:tcW w:w="3756" w:type="dxa"/>
            <w:vAlign w:val="center"/>
          </w:tcPr>
          <w:p w14:paraId="18F5E6D6" w14:textId="77777777" w:rsidR="00D20C73" w:rsidRPr="00811DEC" w:rsidRDefault="00D20C73" w:rsidP="00811DEC">
            <w:pPr>
              <w:pStyle w:val="Tabeludfyldningiret"/>
              <w:jc w:val="left"/>
            </w:pPr>
            <w:r w:rsidRPr="00811DEC">
              <w:t>Udskrivningsgrundlag*</w:t>
            </w:r>
          </w:p>
        </w:tc>
        <w:tc>
          <w:tcPr>
            <w:tcW w:w="1150" w:type="dxa"/>
            <w:tcBorders>
              <w:top w:val="single" w:sz="8" w:space="0" w:color="A3A3A3"/>
              <w:left w:val="single" w:sz="8" w:space="0" w:color="A3A3A3"/>
              <w:bottom w:val="single" w:sz="8" w:space="0" w:color="A3A3A3"/>
              <w:right w:val="single" w:sz="8" w:space="0" w:color="A3A3A3"/>
            </w:tcBorders>
            <w:vAlign w:val="center"/>
          </w:tcPr>
          <w:p w14:paraId="2CA5674D" w14:textId="5CCD72A5" w:rsidR="00D20C73" w:rsidRPr="00811DEC" w:rsidRDefault="00D20C73" w:rsidP="00811DEC">
            <w:pPr>
              <w:pStyle w:val="Tabeludfyldningiret"/>
            </w:pPr>
            <w:r w:rsidRPr="00811DEC">
              <w:t xml:space="preserve"> 76.107 </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6078BA5B" w14:textId="25C8000F" w:rsidR="00D20C73" w:rsidRPr="00811DEC" w:rsidRDefault="00D20C73" w:rsidP="00811DEC">
            <w:pPr>
              <w:pStyle w:val="Tabeludfyldningiret"/>
            </w:pPr>
            <w:r w:rsidRPr="00811DEC">
              <w:t xml:space="preserve"> 79.980 </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1292168B" w14:textId="7F381EB7" w:rsidR="00D20C73" w:rsidRPr="00811DEC" w:rsidRDefault="00D20C73" w:rsidP="00811DEC">
            <w:pPr>
              <w:pStyle w:val="Tabeludfyldningiret"/>
            </w:pPr>
            <w:r w:rsidRPr="00811DEC">
              <w:t xml:space="preserve"> 83.460 </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0977920A" w14:textId="2BD1B839" w:rsidR="00D20C73" w:rsidRPr="00811DEC" w:rsidRDefault="00D20C73" w:rsidP="00811DEC">
            <w:pPr>
              <w:pStyle w:val="Tabeludfyldningiret"/>
            </w:pPr>
            <w:r w:rsidRPr="00811DEC">
              <w:t xml:space="preserve"> 88.034 </w:t>
            </w:r>
          </w:p>
        </w:tc>
        <w:tc>
          <w:tcPr>
            <w:tcW w:w="1150" w:type="dxa"/>
            <w:tcBorders>
              <w:top w:val="single" w:sz="8" w:space="0" w:color="A3A3A3"/>
              <w:left w:val="single" w:sz="8" w:space="0" w:color="A3A3A3"/>
              <w:bottom w:val="single" w:sz="8" w:space="0" w:color="A3A3A3"/>
              <w:right w:val="single" w:sz="8" w:space="0" w:color="A3A3A3"/>
            </w:tcBorders>
            <w:vAlign w:val="center"/>
          </w:tcPr>
          <w:p w14:paraId="4B2A3E4F" w14:textId="20245C5B" w:rsidR="00D20C73" w:rsidRPr="00811DEC" w:rsidRDefault="00D20C73" w:rsidP="00811DEC">
            <w:pPr>
              <w:pStyle w:val="Tabeludfyldningiret"/>
            </w:pPr>
            <w:r w:rsidRPr="00811DEC">
              <w:t xml:space="preserve"> 92.759 </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2EA52AC7" w14:textId="1936022C" w:rsidR="00D20C73" w:rsidRPr="00811DEC" w:rsidRDefault="00D20C73" w:rsidP="00811DEC">
            <w:pPr>
              <w:pStyle w:val="Tabeludfyldningiret"/>
            </w:pPr>
            <w:r w:rsidRPr="00811DEC">
              <w:t xml:space="preserve"> 97.422 </w:t>
            </w:r>
          </w:p>
        </w:tc>
      </w:tr>
      <w:tr w:rsidR="00D20C73" w:rsidRPr="00D20C73" w14:paraId="08CD7F93" w14:textId="77777777" w:rsidTr="00811DEC">
        <w:trPr>
          <w:trHeight w:val="488"/>
        </w:trPr>
        <w:tc>
          <w:tcPr>
            <w:tcW w:w="3756" w:type="dxa"/>
            <w:vAlign w:val="center"/>
          </w:tcPr>
          <w:p w14:paraId="30975064" w14:textId="16050B9C" w:rsidR="00D20C73" w:rsidRPr="00811DEC" w:rsidRDefault="00D20C73" w:rsidP="00811DEC">
            <w:pPr>
              <w:pStyle w:val="Tabeludfyldningiret"/>
              <w:jc w:val="left"/>
            </w:pPr>
            <w:r w:rsidRPr="00811DEC">
              <w:t>Budgetteret vækst i udskrivningsgrundlaget* ift. foregående år (%)</w:t>
            </w:r>
          </w:p>
        </w:tc>
        <w:tc>
          <w:tcPr>
            <w:tcW w:w="1150" w:type="dxa"/>
            <w:tcBorders>
              <w:top w:val="single" w:sz="8" w:space="0" w:color="A3A3A3"/>
              <w:left w:val="single" w:sz="8" w:space="0" w:color="A3A3A3"/>
              <w:bottom w:val="single" w:sz="8" w:space="0" w:color="A3A3A3"/>
              <w:right w:val="single" w:sz="8" w:space="0" w:color="A3A3A3"/>
            </w:tcBorders>
            <w:vAlign w:val="center"/>
          </w:tcPr>
          <w:p w14:paraId="37F3EC76" w14:textId="777D6D87" w:rsidR="00D20C73" w:rsidRPr="00811DEC" w:rsidRDefault="00D20C73" w:rsidP="00811DEC">
            <w:pPr>
              <w:pStyle w:val="Tabeludfyldningiret"/>
            </w:pPr>
            <w:r w:rsidRPr="00811DEC">
              <w:t>6,8</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23C3466E" w14:textId="20E73D31" w:rsidR="00D20C73" w:rsidRPr="00811DEC" w:rsidRDefault="00D20C73" w:rsidP="00811DEC">
            <w:pPr>
              <w:pStyle w:val="Tabeludfyldningiret"/>
            </w:pPr>
            <w:r w:rsidRPr="00811DEC">
              <w:t>5,1</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1571C274" w14:textId="001FC55A" w:rsidR="00D20C73" w:rsidRPr="00811DEC" w:rsidRDefault="00D20C73" w:rsidP="00811DEC">
            <w:pPr>
              <w:pStyle w:val="Tabeludfyldningiret"/>
            </w:pPr>
            <w:r w:rsidRPr="00811DEC">
              <w:t>4,4</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483DA379" w14:textId="5D5BFAB4" w:rsidR="00D20C73" w:rsidRPr="00811DEC" w:rsidRDefault="00D20C73" w:rsidP="00811DEC">
            <w:pPr>
              <w:pStyle w:val="Tabeludfyldningiret"/>
            </w:pPr>
            <w:r w:rsidRPr="00811DEC">
              <w:t>5,5</w:t>
            </w:r>
          </w:p>
        </w:tc>
        <w:tc>
          <w:tcPr>
            <w:tcW w:w="1150" w:type="dxa"/>
            <w:tcBorders>
              <w:top w:val="single" w:sz="8" w:space="0" w:color="A3A3A3"/>
              <w:left w:val="single" w:sz="8" w:space="0" w:color="A3A3A3"/>
              <w:bottom w:val="single" w:sz="8" w:space="0" w:color="A3A3A3"/>
              <w:right w:val="single" w:sz="8" w:space="0" w:color="A3A3A3"/>
            </w:tcBorders>
            <w:vAlign w:val="center"/>
          </w:tcPr>
          <w:p w14:paraId="7FB52FCC" w14:textId="1CBCB934" w:rsidR="00D20C73" w:rsidRPr="00811DEC" w:rsidRDefault="00D20C73" w:rsidP="00811DEC">
            <w:pPr>
              <w:pStyle w:val="Tabeludfyldningiret"/>
            </w:pPr>
            <w:r w:rsidRPr="00811DEC">
              <w:t>5,4</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64F792F4" w14:textId="695EBF2B" w:rsidR="00D20C73" w:rsidRPr="00811DEC" w:rsidRDefault="00D20C73" w:rsidP="00811DEC">
            <w:pPr>
              <w:pStyle w:val="Tabeludfyldningiret"/>
            </w:pPr>
            <w:r w:rsidRPr="00811DEC">
              <w:t>5,0</w:t>
            </w:r>
          </w:p>
        </w:tc>
      </w:tr>
      <w:tr w:rsidR="00D20C73" w:rsidRPr="00D20C73" w14:paraId="4B00A7DC" w14:textId="77777777" w:rsidTr="00811DEC">
        <w:trPr>
          <w:trHeight w:val="488"/>
        </w:trPr>
        <w:tc>
          <w:tcPr>
            <w:tcW w:w="3756" w:type="dxa"/>
            <w:vAlign w:val="center"/>
          </w:tcPr>
          <w:p w14:paraId="4EA3D137" w14:textId="0A72A5E5" w:rsidR="00D20C73" w:rsidRPr="00811DEC" w:rsidRDefault="00D20C73" w:rsidP="00811DEC">
            <w:pPr>
              <w:pStyle w:val="Tabeludfyldningiret"/>
              <w:jc w:val="left"/>
            </w:pPr>
            <w:r w:rsidRPr="00811DEC">
              <w:t>Vedtaget/forudsat skatteprocent (%)</w:t>
            </w:r>
          </w:p>
        </w:tc>
        <w:tc>
          <w:tcPr>
            <w:tcW w:w="1150" w:type="dxa"/>
            <w:tcBorders>
              <w:top w:val="single" w:sz="8" w:space="0" w:color="A3A3A3"/>
              <w:left w:val="single" w:sz="8" w:space="0" w:color="A3A3A3"/>
              <w:bottom w:val="single" w:sz="8" w:space="0" w:color="A3A3A3"/>
              <w:right w:val="single" w:sz="8" w:space="0" w:color="A3A3A3"/>
            </w:tcBorders>
            <w:vAlign w:val="center"/>
          </w:tcPr>
          <w:p w14:paraId="7D9E0843" w14:textId="035B14FA" w:rsidR="00D20C73" w:rsidRPr="00811DEC" w:rsidRDefault="00D20C73" w:rsidP="00811DEC">
            <w:pPr>
              <w:pStyle w:val="Tabeludfyldningiret"/>
            </w:pPr>
            <w:r w:rsidRPr="00811DEC">
              <w:t>24,52</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32AFF803" w14:textId="381C8A94" w:rsidR="00D20C73" w:rsidRPr="00811DEC" w:rsidRDefault="00D20C73" w:rsidP="00811DEC">
            <w:pPr>
              <w:pStyle w:val="Tabeludfyldningiret"/>
            </w:pPr>
            <w:r w:rsidRPr="00811DEC">
              <w:t>24,52</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23CA66BB" w14:textId="401AF204" w:rsidR="00D20C73" w:rsidRPr="00811DEC" w:rsidRDefault="00D20C73" w:rsidP="00811DEC">
            <w:pPr>
              <w:pStyle w:val="Tabeludfyldningiret"/>
            </w:pPr>
            <w:r w:rsidRPr="00811DEC">
              <w:t>24,52</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26D3CD08" w14:textId="34FEA202" w:rsidR="00D20C73" w:rsidRPr="00811DEC" w:rsidRDefault="00D20C73" w:rsidP="00811DEC">
            <w:pPr>
              <w:pStyle w:val="Tabeludfyldningiret"/>
            </w:pPr>
            <w:r w:rsidRPr="00811DEC">
              <w:t>24,52</w:t>
            </w:r>
          </w:p>
        </w:tc>
        <w:tc>
          <w:tcPr>
            <w:tcW w:w="1150" w:type="dxa"/>
            <w:tcBorders>
              <w:top w:val="single" w:sz="8" w:space="0" w:color="A3A3A3"/>
              <w:left w:val="single" w:sz="8" w:space="0" w:color="A3A3A3"/>
              <w:bottom w:val="single" w:sz="8" w:space="0" w:color="A3A3A3"/>
              <w:right w:val="single" w:sz="8" w:space="0" w:color="A3A3A3"/>
            </w:tcBorders>
            <w:vAlign w:val="center"/>
          </w:tcPr>
          <w:p w14:paraId="266D6F1E" w14:textId="56713640" w:rsidR="00D20C73" w:rsidRPr="00811DEC" w:rsidRDefault="00D20C73" w:rsidP="00811DEC">
            <w:pPr>
              <w:pStyle w:val="Tabeludfyldningiret"/>
            </w:pPr>
            <w:r w:rsidRPr="00811DEC">
              <w:t>24,52</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4F4CA91D" w14:textId="038E04BD" w:rsidR="00D20C73" w:rsidRPr="00811DEC" w:rsidRDefault="00D20C73" w:rsidP="00811DEC">
            <w:pPr>
              <w:pStyle w:val="Tabeludfyldningiret"/>
            </w:pPr>
            <w:r w:rsidRPr="00811DEC">
              <w:t>24,52</w:t>
            </w:r>
          </w:p>
        </w:tc>
      </w:tr>
      <w:tr w:rsidR="00D20C73" w:rsidRPr="00D20C73" w14:paraId="11BEB63B" w14:textId="77777777" w:rsidTr="00811DEC">
        <w:trPr>
          <w:trHeight w:val="488"/>
        </w:trPr>
        <w:tc>
          <w:tcPr>
            <w:tcW w:w="3756" w:type="dxa"/>
            <w:vAlign w:val="center"/>
          </w:tcPr>
          <w:p w14:paraId="73347318" w14:textId="631D992A" w:rsidR="00D20C73" w:rsidRPr="00811DEC" w:rsidRDefault="00D20C73" w:rsidP="00811DEC">
            <w:pPr>
              <w:pStyle w:val="Tabeludfyldningiret"/>
              <w:jc w:val="left"/>
            </w:pPr>
            <w:r w:rsidRPr="00811DEC">
              <w:t>Skatteprovenu</w:t>
            </w:r>
          </w:p>
        </w:tc>
        <w:tc>
          <w:tcPr>
            <w:tcW w:w="1150" w:type="dxa"/>
            <w:tcBorders>
              <w:top w:val="single" w:sz="8" w:space="0" w:color="A3A3A3"/>
              <w:left w:val="single" w:sz="8" w:space="0" w:color="A3A3A3"/>
              <w:bottom w:val="single" w:sz="8" w:space="0" w:color="A3A3A3"/>
              <w:right w:val="single" w:sz="8" w:space="0" w:color="A3A3A3"/>
            </w:tcBorders>
            <w:vAlign w:val="center"/>
          </w:tcPr>
          <w:p w14:paraId="3E304732" w14:textId="317A498F" w:rsidR="00D20C73" w:rsidRPr="00811DEC" w:rsidRDefault="00D20C73" w:rsidP="00811DEC">
            <w:pPr>
              <w:pStyle w:val="Tabeludfyldningiret"/>
            </w:pPr>
            <w:r w:rsidRPr="00811DEC">
              <w:t>18.661</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5D281D28" w14:textId="216DDCF5" w:rsidR="00D20C73" w:rsidRPr="00811DEC" w:rsidRDefault="00D20C73" w:rsidP="00811DEC">
            <w:pPr>
              <w:pStyle w:val="Tabeludfyldningiret"/>
            </w:pPr>
            <w:r w:rsidRPr="00811DEC">
              <w:t>19.611</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66F3791F" w14:textId="550B89D9" w:rsidR="00D20C73" w:rsidRPr="00811DEC" w:rsidRDefault="00D20C73" w:rsidP="00811DEC">
            <w:pPr>
              <w:pStyle w:val="Tabeludfyldningiret"/>
            </w:pPr>
            <w:r w:rsidRPr="00811DEC">
              <w:t>20.464</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257A8230" w14:textId="39F13654" w:rsidR="00D20C73" w:rsidRPr="00811DEC" w:rsidRDefault="00D20C73" w:rsidP="00811DEC">
            <w:pPr>
              <w:pStyle w:val="Tabeludfyldningiret"/>
            </w:pPr>
            <w:r w:rsidRPr="00811DEC">
              <w:t>21.586</w:t>
            </w:r>
          </w:p>
        </w:tc>
        <w:tc>
          <w:tcPr>
            <w:tcW w:w="1150" w:type="dxa"/>
            <w:tcBorders>
              <w:top w:val="single" w:sz="8" w:space="0" w:color="A3A3A3"/>
              <w:left w:val="single" w:sz="8" w:space="0" w:color="A3A3A3"/>
              <w:bottom w:val="single" w:sz="8" w:space="0" w:color="A3A3A3"/>
              <w:right w:val="single" w:sz="8" w:space="0" w:color="A3A3A3"/>
            </w:tcBorders>
            <w:vAlign w:val="center"/>
          </w:tcPr>
          <w:p w14:paraId="67E142CD" w14:textId="139074E5" w:rsidR="00D20C73" w:rsidRPr="00811DEC" w:rsidRDefault="00D20C73" w:rsidP="00811DEC">
            <w:pPr>
              <w:pStyle w:val="Tabeludfyldningiret"/>
            </w:pPr>
            <w:r w:rsidRPr="00811DEC">
              <w:t>22.745</w:t>
            </w:r>
          </w:p>
        </w:tc>
        <w:tc>
          <w:tcPr>
            <w:tcW w:w="1150" w:type="dxa"/>
            <w:tcBorders>
              <w:top w:val="single" w:sz="8" w:space="0" w:color="A3A3A3"/>
              <w:left w:val="single" w:sz="8" w:space="0" w:color="A3A3A3"/>
              <w:bottom w:val="single" w:sz="8" w:space="0" w:color="A3A3A3"/>
              <w:right w:val="single" w:sz="8" w:space="0" w:color="A3A3A3"/>
            </w:tcBorders>
            <w:noWrap/>
            <w:vAlign w:val="center"/>
          </w:tcPr>
          <w:p w14:paraId="47CCAABB" w14:textId="03ED7948" w:rsidR="00D20C73" w:rsidRPr="00811DEC" w:rsidRDefault="00D20C73" w:rsidP="00811DEC">
            <w:pPr>
              <w:pStyle w:val="Tabeludfyldningiret"/>
            </w:pPr>
            <w:r w:rsidRPr="00811DEC">
              <w:t>23.888</w:t>
            </w:r>
          </w:p>
        </w:tc>
      </w:tr>
    </w:tbl>
    <w:p w14:paraId="5C61B74B" w14:textId="4191C9B9" w:rsidR="00DB3765" w:rsidRPr="00811DEC" w:rsidRDefault="00DB3765" w:rsidP="00811DEC">
      <w:pPr>
        <w:pStyle w:val="Billedtekst-afsnit"/>
      </w:pPr>
      <w:r w:rsidRPr="00811DEC">
        <w:lastRenderedPageBreak/>
        <w:t>* I alle årene anvendes efterreguleringsgrundlaget, som er korrigeret for lovændringer vedtaget efter fastsættelsen af statsgarantien. Dette gælder også i 20</w:t>
      </w:r>
      <w:r w:rsidR="00183861" w:rsidRPr="00811DEC">
        <w:t>2</w:t>
      </w:r>
      <w:r w:rsidR="001201FD" w:rsidRPr="00811DEC">
        <w:t>6</w:t>
      </w:r>
      <w:r w:rsidR="00183861" w:rsidRPr="00811DEC">
        <w:t>,</w:t>
      </w:r>
      <w:r w:rsidRPr="00811DEC">
        <w:t xml:space="preserve"> hvor provenuet er udregnet på baggrund af det statsgaranterede udskrivningsgrundlag.</w:t>
      </w:r>
    </w:p>
    <w:p w14:paraId="45455B87" w14:textId="01D54F69" w:rsidR="00D21218" w:rsidRPr="00811DEC" w:rsidRDefault="00DB3765" w:rsidP="00811DEC">
      <w:pPr>
        <w:pStyle w:val="Overskrift2"/>
      </w:pPr>
      <w:bookmarkStart w:id="9" w:name="_Toc54707468"/>
      <w:bookmarkStart w:id="10" w:name="_Toc212451859"/>
      <w:r w:rsidRPr="00811DEC">
        <w:t>Ejendomsskat</w:t>
      </w:r>
      <w:bookmarkEnd w:id="9"/>
      <w:bookmarkEnd w:id="10"/>
    </w:p>
    <w:p w14:paraId="7B976848" w14:textId="0292B6ED" w:rsidR="00D21218" w:rsidRPr="0061269C" w:rsidRDefault="00D21218" w:rsidP="00811DEC">
      <w:bookmarkStart w:id="11" w:name="_Hlk142988951"/>
      <w:r w:rsidRPr="0061269C">
        <w:t xml:space="preserve">Ejendomsskatteområdet har i flere år været præget </w:t>
      </w:r>
      <w:r w:rsidR="009F3F0E" w:rsidRPr="0061269C">
        <w:t xml:space="preserve">af </w:t>
      </w:r>
      <w:r w:rsidRPr="0061269C">
        <w:t xml:space="preserve">ekstraordinær usikkerhed som følge af ændret ejendomsskattelovgivning og udarbejdelsen af nye vurderinger. </w:t>
      </w:r>
      <w:bookmarkEnd w:id="11"/>
      <w:r w:rsidRPr="0061269C">
        <w:t>Denne usikkerhed er stadig til stede</w:t>
      </w:r>
      <w:r w:rsidR="002606A6" w:rsidRPr="0061269C">
        <w:t>,</w:t>
      </w:r>
      <w:r w:rsidRPr="0061269C">
        <w:t xml:space="preserve"> og budgetteringen af ejendomsskatterne i</w:t>
      </w:r>
      <w:r w:rsidR="00D6526D" w:rsidRPr="0061269C">
        <w:t xml:space="preserve"> B</w:t>
      </w:r>
      <w:r w:rsidRPr="0061269C">
        <w:t>udget 202</w:t>
      </w:r>
      <w:r w:rsidR="001201FD" w:rsidRPr="0061269C">
        <w:t>6</w:t>
      </w:r>
      <w:r w:rsidRPr="0061269C">
        <w:t xml:space="preserve"> skal ses i </w:t>
      </w:r>
      <w:r w:rsidR="00D6526D" w:rsidRPr="0061269C">
        <w:t>lyset af dette.</w:t>
      </w:r>
      <w:r w:rsidR="001201FD" w:rsidRPr="0061269C">
        <w:t xml:space="preserve"> I økonomiaftalen for 2026 blev regeringen og KL dog enige om en række garantiordninger, der </w:t>
      </w:r>
      <w:r w:rsidR="009F3F0E" w:rsidRPr="0061269C">
        <w:t>fjerner</w:t>
      </w:r>
      <w:r w:rsidR="001201FD" w:rsidRPr="0061269C">
        <w:t xml:space="preserve"> en del af usikkerheden. </w:t>
      </w:r>
    </w:p>
    <w:p w14:paraId="56906126" w14:textId="423DB584" w:rsidR="00D21218" w:rsidRPr="0061269C" w:rsidRDefault="00D21218" w:rsidP="00811DEC">
      <w:r w:rsidRPr="0061269C">
        <w:t>I maj 2023 vedtog Folketinget lovgivningen, der udmønter størstedelen af boligskatteforliget fra maj 2017 og de efterfølgende aftaler fra maj 2018 og maj 2020.</w:t>
      </w:r>
    </w:p>
    <w:p w14:paraId="52090BC4" w14:textId="3A860FA6" w:rsidR="00A043ED" w:rsidRPr="0061269C" w:rsidRDefault="00B926D2" w:rsidP="00811DEC">
      <w:r w:rsidRPr="0061269C">
        <w:t>G</w:t>
      </w:r>
      <w:r w:rsidR="00A043ED" w:rsidRPr="0061269C">
        <w:t xml:space="preserve">rundskyldspromiller og dækningsafgiftssats for erhvervsejendomme </w:t>
      </w:r>
      <w:r w:rsidR="00090235" w:rsidRPr="0061269C">
        <w:t xml:space="preserve">må </w:t>
      </w:r>
      <w:r w:rsidR="00A043ED" w:rsidRPr="0061269C">
        <w:t xml:space="preserve">ikke </w:t>
      </w:r>
      <w:r w:rsidR="00090235" w:rsidRPr="0061269C">
        <w:t>hæves</w:t>
      </w:r>
      <w:r w:rsidR="00A043ED" w:rsidRPr="0061269C">
        <w:t xml:space="preserve"> i </w:t>
      </w:r>
      <w:r w:rsidR="00090235" w:rsidRPr="0061269C">
        <w:t>perioden</w:t>
      </w:r>
      <w:r w:rsidR="00A043ED" w:rsidRPr="0061269C">
        <w:t xml:space="preserve"> 2021-2028. </w:t>
      </w:r>
    </w:p>
    <w:p w14:paraId="045382D0" w14:textId="280F951F" w:rsidR="003B0197" w:rsidRPr="0061269C" w:rsidRDefault="003B0197" w:rsidP="00811DEC">
      <w:r w:rsidRPr="0061269C">
        <w:t xml:space="preserve">Fra 2024 </w:t>
      </w:r>
      <w:r w:rsidR="00254D46" w:rsidRPr="0061269C">
        <w:t xml:space="preserve">er </w:t>
      </w:r>
      <w:r w:rsidRPr="0061269C">
        <w:t xml:space="preserve">opkrævningen af grundskyld og dækningsafgift </w:t>
      </w:r>
      <w:r w:rsidR="00254D46" w:rsidRPr="0061269C">
        <w:t xml:space="preserve">overgået </w:t>
      </w:r>
      <w:r w:rsidRPr="0061269C">
        <w:t xml:space="preserve">til staten. Kommunernes budgetterede indtægter fra grundskyld og dækningsafgift vil afregnes fra staten til kommunerne i form af en foreløbig a conto afregning i skatteåret. </w:t>
      </w:r>
      <w:r w:rsidR="00F979FD" w:rsidRPr="0061269C">
        <w:t>Ved maj-afregningen i året to år efter budgetåret opgøres indtægterne endeligt. Forskellen mellem de foreløbigt afregnede og endelige indtægter efterreguleres i de første tre måneder i året tre år efter budgetåret.</w:t>
      </w:r>
      <w:r w:rsidR="0061269C">
        <w:t xml:space="preserve"> For tilskudsårene 2026-2028 udmeldes et obligatorisk skøn for grundskylden, hvorfor der ikke vil være efterregulering heraf i disse år.</w:t>
      </w:r>
    </w:p>
    <w:p w14:paraId="5FE09EBF" w14:textId="77777777" w:rsidR="00DB3765" w:rsidRPr="00811DEC" w:rsidRDefault="00DB3765" w:rsidP="00811DEC">
      <w:pPr>
        <w:pStyle w:val="Overskrift3"/>
      </w:pPr>
      <w:r w:rsidRPr="00811DEC">
        <w:t>Grundskyld</w:t>
      </w:r>
    </w:p>
    <w:p w14:paraId="0EA78CFE" w14:textId="2B1108D8" w:rsidR="00FB59D6" w:rsidRPr="0061269C" w:rsidRDefault="00FB59D6" w:rsidP="00811DEC">
      <w:r w:rsidRPr="0061269C">
        <w:t xml:space="preserve">Fra 2024 blev beskatningen på almindelige ejendomme omlagt fra afgiftspligtige grundværdier til beskatning direkte på grundværdien for ejendomsejeren. I 2024 </w:t>
      </w:r>
      <w:r w:rsidR="0061269C" w:rsidRPr="0061269C">
        <w:t>blev</w:t>
      </w:r>
      <w:r w:rsidRPr="0061269C">
        <w:t xml:space="preserve"> grundskyldspromillen i Aarhus Kommune fastsat ved lov til 6 ‰. Promillen er fastsat ud</w:t>
      </w:r>
      <w:r w:rsidR="009F3F0E" w:rsidRPr="0061269C">
        <w:t xml:space="preserve"> </w:t>
      </w:r>
      <w:r w:rsidRPr="0061269C">
        <w:t>fra, at provenuet i 2024 svarer til, hvad provenuet i 2024 ville udgøre med en stigningsbegrænsning på 2,8 % fra 2023 til 2024. Siden promillen blev fastlagt, er der kommet opdaterede prognoser for grundværdierne, som medfører</w:t>
      </w:r>
      <w:r w:rsidR="00313D1F">
        <w:t>,</w:t>
      </w:r>
      <w:r w:rsidRPr="0061269C">
        <w:t xml:space="preserve"> at provenuet bliver lavere end forventet med den lovfastsatte promille. Regeringen har derfor udm</w:t>
      </w:r>
      <w:r w:rsidR="009F3F0E" w:rsidRPr="0061269C">
        <w:t>eldt</w:t>
      </w:r>
      <w:r w:rsidRPr="0061269C">
        <w:t xml:space="preserve"> et tilskud</w:t>
      </w:r>
      <w:r w:rsidR="00313D1F">
        <w:t>,</w:t>
      </w:r>
      <w:r w:rsidRPr="0061269C">
        <w:t xml:space="preserve"> som kompenserer for en del af mindreprovenuet. I 2026 drejer det sig om 39,6 mio. kr. for Aarhus. Kompensationen kommer som et </w:t>
      </w:r>
      <w:r w:rsidR="009F3F0E" w:rsidRPr="0061269C">
        <w:t>sær</w:t>
      </w:r>
      <w:r w:rsidRPr="0061269C">
        <w:t>tilskud</w:t>
      </w:r>
      <w:r w:rsidR="009F3F0E" w:rsidRPr="0061269C">
        <w:t>,</w:t>
      </w:r>
      <w:r w:rsidRPr="0061269C">
        <w:t xml:space="preserve"> og indgår derfor ikke som en skatteindtægt. </w:t>
      </w:r>
    </w:p>
    <w:p w14:paraId="2D52DBFA" w14:textId="7EA20E46" w:rsidR="00FB59D6" w:rsidRPr="0061269C" w:rsidRDefault="00FB59D6" w:rsidP="00811DEC">
      <w:r w:rsidRPr="0061269C">
        <w:t xml:space="preserve">Fra 2025 følger udviklingen i beskatningsgrundlaget for </w:t>
      </w:r>
      <w:proofErr w:type="gramStart"/>
      <w:r w:rsidRPr="0061269C">
        <w:t>grundskyld udviklingen</w:t>
      </w:r>
      <w:proofErr w:type="gramEnd"/>
      <w:r w:rsidRPr="0061269C">
        <w:t xml:space="preserve"> i grundværdierne uden stigningsbegrænsninger.</w:t>
      </w:r>
    </w:p>
    <w:p w14:paraId="16E297EB" w14:textId="6A7D9FDD" w:rsidR="00FB59D6" w:rsidRPr="0061269C" w:rsidRDefault="00FB59D6" w:rsidP="00811DEC">
      <w:r w:rsidRPr="0061269C">
        <w:t>De ændrede regler og nye vurderinger har medført stor usikkerhed om indtægterne fra grundskyld, særligt p</w:t>
      </w:r>
      <w:r w:rsidR="009F3F0E" w:rsidRPr="0061269C">
        <w:t xml:space="preserve">å grund af </w:t>
      </w:r>
      <w:r w:rsidRPr="0061269C">
        <w:t xml:space="preserve">volatile skøn for grundværdierne. Med økonomiaftalen for 2026 er regeringen og KL blevet enige om en række tiltag, der har til formål at mindske denne usikkerhed. </w:t>
      </w:r>
    </w:p>
    <w:p w14:paraId="06EDB6E2" w14:textId="706AC0BE" w:rsidR="00FB59D6" w:rsidRPr="0061269C" w:rsidRDefault="00FB59D6" w:rsidP="00811DEC">
      <w:r w:rsidRPr="0061269C">
        <w:t>For 2024 og 2025 gælder, at provenuet bliver endeligt efterreguleret</w:t>
      </w:r>
      <w:r w:rsidR="009F3F0E" w:rsidRPr="0061269C">
        <w:t>,</w:t>
      </w:r>
      <w:r w:rsidRPr="0061269C">
        <w:t xml:space="preserve"> når de endelige grundværdier er udsendt. Ved denne efterregulering er kommunerne garanteret minimum det provenu, som det seneste statslige skøn forud for det pågældende års budgetlægning. Hvis det endelige grundlag overstiger det garanterede provenu, vil der komme en positiv efterregulering.</w:t>
      </w:r>
    </w:p>
    <w:p w14:paraId="1C456D15" w14:textId="478D0602" w:rsidR="00FB59D6" w:rsidRPr="0061269C" w:rsidRDefault="00FB59D6" w:rsidP="00811DEC">
      <w:r w:rsidRPr="0061269C">
        <w:t>For 2026-2028 gælder</w:t>
      </w:r>
      <w:r w:rsidR="009F3F0E" w:rsidRPr="0061269C">
        <w:t>,</w:t>
      </w:r>
      <w:r w:rsidRPr="0061269C">
        <w:t xml:space="preserve"> at det udmeldte skøn forud for det pågældende års budget</w:t>
      </w:r>
      <w:r w:rsidR="009F3F0E" w:rsidRPr="0061269C">
        <w:t>,</w:t>
      </w:r>
      <w:r w:rsidRPr="0061269C">
        <w:t xml:space="preserve"> er endelige</w:t>
      </w:r>
      <w:r w:rsidR="009F3F0E" w:rsidRPr="0061269C">
        <w:t>,</w:t>
      </w:r>
      <w:r w:rsidRPr="0061269C">
        <w:t xml:space="preserve"> og der for</w:t>
      </w:r>
      <w:r w:rsidR="00313D1F">
        <w:t>e</w:t>
      </w:r>
      <w:r w:rsidRPr="0061269C">
        <w:t>tages ingen efterregulering.</w:t>
      </w:r>
    </w:p>
    <w:p w14:paraId="11B0BFB9" w14:textId="5BAD0779" w:rsidR="00FB59D6" w:rsidRPr="0061269C" w:rsidRDefault="00FB59D6" w:rsidP="00811DEC">
      <w:r w:rsidRPr="0061269C">
        <w:t xml:space="preserve">Skatteministeriet har udarbejdet foreløbige skøn for kommunernes indtægter fra grundskyld af henholdsvis almindelige ejendomme og produktionsjord i </w:t>
      </w:r>
      <w:r w:rsidRPr="0061269C">
        <w:lastRenderedPageBreak/>
        <w:t xml:space="preserve">2026-2029 samt efterreguleringerne af 2024 og 2025. Disse skøn er lagt til grund for budget 2026. </w:t>
      </w:r>
    </w:p>
    <w:p w14:paraId="5DC65A4B" w14:textId="48D08A5C" w:rsidR="00FB59D6" w:rsidRPr="0061269C" w:rsidRDefault="00FB59D6" w:rsidP="00811DEC">
      <w:r w:rsidRPr="0061269C">
        <w:t>For Aarhus er skønnene sænket i</w:t>
      </w:r>
      <w:r w:rsidR="009F3F0E" w:rsidRPr="0061269C">
        <w:t xml:space="preserve"> </w:t>
      </w:r>
      <w:r w:rsidRPr="0061269C">
        <w:t>f</w:t>
      </w:r>
      <w:r w:rsidR="009F3F0E" w:rsidRPr="0061269C">
        <w:t>orhold til</w:t>
      </w:r>
      <w:r w:rsidRPr="0061269C">
        <w:t xml:space="preserve"> budget 2025, hvilket resulterer i et forventet </w:t>
      </w:r>
      <w:proofErr w:type="spellStart"/>
      <w:r w:rsidRPr="0061269C">
        <w:t>mindreprovenu</w:t>
      </w:r>
      <w:proofErr w:type="spellEnd"/>
      <w:r w:rsidRPr="0061269C">
        <w:t xml:space="preserve"> i 2026-2028 sammenlignet med budget 2025 på 232 mio. kr. </w:t>
      </w:r>
    </w:p>
    <w:p w14:paraId="2AFEA570" w14:textId="75534DDF" w:rsidR="00FB59D6" w:rsidRPr="0061269C" w:rsidRDefault="00FB59D6" w:rsidP="00811DEC">
      <w:r w:rsidRPr="0061269C">
        <w:t>Årene 2021-2023 er i vid udstrækning opkrævet p</w:t>
      </w:r>
      <w:r w:rsidR="009F3F0E" w:rsidRPr="0061269C">
        <w:t xml:space="preserve">å baggrund af </w:t>
      </w:r>
      <w:r w:rsidRPr="0061269C">
        <w:t>gamle vurderinger, hvorfor der vil komme en efterregulering. Årene er dog omfattet af neutralitetsordningen, som skal sikre</w:t>
      </w:r>
      <w:r w:rsidR="009F3F0E" w:rsidRPr="0061269C">
        <w:t>,</w:t>
      </w:r>
      <w:r w:rsidRPr="0061269C">
        <w:t xml:space="preserve"> at ingen kommuner lider hverken nettotab eller nettogevinst ved overgangen til det nye ejendomsskattesystem. De præcise omstændigheder omkring ordningen er ikke kendte, og KL anbefaler, at kommunerne venter med at håndtere mer- elle mindreindtægter fra grundskylden i disse år indtil, der er klarhed over ordningens konsekvenser. Der er således ikke budgetlagt med en efterregulering og neutralisering af grundskylden for 2021-2023.</w:t>
      </w:r>
    </w:p>
    <w:p w14:paraId="60252248" w14:textId="1155FE04" w:rsidR="00DB3765" w:rsidRPr="00811DEC" w:rsidRDefault="00DB3765" w:rsidP="00811DEC">
      <w:pPr>
        <w:pStyle w:val="Overskrift3"/>
      </w:pPr>
      <w:r w:rsidRPr="00811DEC">
        <w:t>Dækningsafgift</w:t>
      </w:r>
    </w:p>
    <w:p w14:paraId="2FDE2277" w14:textId="77777777" w:rsidR="00FB59D6" w:rsidRPr="00811DEC" w:rsidRDefault="00FB59D6" w:rsidP="00811DEC">
      <w:pPr>
        <w:rPr>
          <w:i/>
          <w:iCs/>
        </w:rPr>
      </w:pPr>
      <w:bookmarkStart w:id="12" w:name="_Toc54707469"/>
      <w:r w:rsidRPr="00811DEC">
        <w:rPr>
          <w:i/>
          <w:iCs/>
        </w:rPr>
        <w:t xml:space="preserve">Dækningsafgift for erhvervsejendomme </w:t>
      </w:r>
    </w:p>
    <w:p w14:paraId="71819972" w14:textId="6C8286CA" w:rsidR="00FB59D6" w:rsidRPr="0061269C" w:rsidRDefault="00FB59D6" w:rsidP="00811DEC">
      <w:r w:rsidRPr="0061269C">
        <w:t xml:space="preserve">For erhvervsejendomme er beskatningsgrundlaget ændret fra forskelsværdier til grundværdier fra 2022 som en del af den nye ejendomsskattelovgivning. Derudover er de nye vurderinger gældende fra 2022, men forventes først færdige i 2026. </w:t>
      </w:r>
    </w:p>
    <w:p w14:paraId="603C7D44" w14:textId="1E19DC89" w:rsidR="00FB59D6" w:rsidRPr="0061269C" w:rsidRDefault="00FB59D6" w:rsidP="00811DEC">
      <w:r w:rsidRPr="0061269C">
        <w:t xml:space="preserve">Da de nye vurderinger endnu ikke foreligger, </w:t>
      </w:r>
      <w:r w:rsidR="0042402A">
        <w:t xml:space="preserve">er der </w:t>
      </w:r>
      <w:r w:rsidRPr="0061269C">
        <w:t xml:space="preserve">i 2022 og 2023 </w:t>
      </w:r>
      <w:r w:rsidR="0042402A">
        <w:t xml:space="preserve">opkrævet </w:t>
      </w:r>
      <w:r w:rsidRPr="0061269C">
        <w:t>dækningsafgift på baggrund af de gamle vurderinger for grundværdier, så provenuet som minimum udgør provenuet fra 2021 og med en stigningsbegrænsning på 30</w:t>
      </w:r>
      <w:r w:rsidR="00387160">
        <w:t xml:space="preserve"> </w:t>
      </w:r>
      <w:r w:rsidRPr="0061269C">
        <w:t>%. Når de nye vurderinger foreligger, vil disse år blive efterregulere</w:t>
      </w:r>
      <w:r w:rsidR="007F28B3" w:rsidRPr="0061269C">
        <w:t>t</w:t>
      </w:r>
      <w:r w:rsidRPr="0061269C">
        <w:t xml:space="preserve">. I </w:t>
      </w:r>
      <w:r w:rsidR="0061269C">
        <w:t>budget</w:t>
      </w:r>
      <w:r w:rsidRPr="0061269C">
        <w:t xml:space="preserve"> 2026 er et estimat på denne efterregulering indarbejdet i 2027. Det skal bemærkes, at der er stor usikkerhed om denne efterregulering, da estimatet er baseret på et skøn for grundværdierne for 2024</w:t>
      </w:r>
      <w:r w:rsidR="007F28B3" w:rsidRPr="0061269C">
        <w:t>,</w:t>
      </w:r>
      <w:r w:rsidRPr="0061269C">
        <w:t xml:space="preserve"> som ikke er blevet opdateret siden. </w:t>
      </w:r>
    </w:p>
    <w:p w14:paraId="5875D0A9" w14:textId="01CCF3B8" w:rsidR="00FB59D6" w:rsidRPr="0061269C" w:rsidRDefault="00FB59D6" w:rsidP="00811DEC">
      <w:r w:rsidRPr="0061269C">
        <w:t>I november 2023 blev der i Folketinget indgået ”Aftale om øget tryghed om de nye erhvervsvurderinger”. Aftalen medfører bl.a. en gradvis indfasning af forudsatte stigninger i dækningsafgiften for erhvervsejendomme fra 2022. Det vil som udgangspunkt medføre laver</w:t>
      </w:r>
      <w:r w:rsidR="007F28B3" w:rsidRPr="0061269C">
        <w:t>e</w:t>
      </w:r>
      <w:r w:rsidRPr="0061269C">
        <w:t xml:space="preserve"> indtægter for de kommuner, der opkræver dækningsafgift. Det er dog i økonomiaftalen for 2025 aftalt en kompensationsmodel, så der ydes kompensation i 2025-2027 til kommunerne baseret på det skønnede grundlag</w:t>
      </w:r>
      <w:r w:rsidR="007F28B3" w:rsidRPr="0061269C">
        <w:t>,</w:t>
      </w:r>
      <w:r w:rsidRPr="0061269C">
        <w:t xml:space="preserve"> kommunerne havde til rådighed i forbindelse med budgetlægningen for 2024.</w:t>
      </w:r>
    </w:p>
    <w:p w14:paraId="410E9FD7" w14:textId="41C4DC33" w:rsidR="00FB59D6" w:rsidRPr="0061269C" w:rsidRDefault="00FB59D6" w:rsidP="00811DEC">
      <w:r w:rsidRPr="0061269C">
        <w:t>For 2026-2029 har Skatteministeriet udsendt skøn for kommunernes indtægter fra dækningsafgift på erhvervsejendomme inkl. indfasning og herudover skøn for kompensationen frem til 2027. Disse skøn er indarbejdet i budget 2026. Skønnene er fortsat behæftet med stor usikkerhed grundet de ufærdige vurderinger.</w:t>
      </w:r>
    </w:p>
    <w:p w14:paraId="6916D937" w14:textId="0C045F19" w:rsidR="00FB59D6" w:rsidRPr="0061269C" w:rsidRDefault="00FB59D6" w:rsidP="00811DEC">
      <w:r w:rsidRPr="0061269C">
        <w:t xml:space="preserve">Aftalen </w:t>
      </w:r>
      <w:r w:rsidR="007F28B3" w:rsidRPr="0061269C">
        <w:t xml:space="preserve">i Aarhus </w:t>
      </w:r>
      <w:r w:rsidRPr="0061269C">
        <w:t>mellem Socialdemokraterne, Venstre, Konservative samt en række repræsentanter</w:t>
      </w:r>
      <w:r w:rsidRPr="0061269C">
        <w:rPr>
          <w:b/>
          <w:bCs/>
        </w:rPr>
        <w:t xml:space="preserve"> </w:t>
      </w:r>
      <w:r w:rsidRPr="0061269C">
        <w:t xml:space="preserve">for erhvervslivet om aftrapning af dækningsafgiften er blevet opsagt </w:t>
      </w:r>
      <w:r w:rsidR="007F28B3" w:rsidRPr="0061269C">
        <w:t xml:space="preserve">af borgmesteren </w:t>
      </w:r>
      <w:r w:rsidRPr="0061269C">
        <w:t xml:space="preserve">med virkning fra næste byrådsperiode, dvs. fra 1. januar 2026. </w:t>
      </w:r>
      <w:r w:rsidR="007F28B3" w:rsidRPr="0061269C">
        <w:t>Indtil der foreligger en ny aftale om dækningsafgiften</w:t>
      </w:r>
      <w:r w:rsidR="0061269C">
        <w:t>,</w:t>
      </w:r>
      <w:r w:rsidR="007F28B3" w:rsidRPr="0061269C">
        <w:t xml:space="preserve"> budgetteres der med udgangspunkt i den hidtidige aftale, der indebærer, at dækningsafgiften </w:t>
      </w:r>
      <w:r w:rsidRPr="0061269C">
        <w:t xml:space="preserve">nedsættes </w:t>
      </w:r>
      <w:r w:rsidR="007F28B3" w:rsidRPr="0061269C">
        <w:t xml:space="preserve">fra 5,8 </w:t>
      </w:r>
      <w:r w:rsidR="00387160" w:rsidRPr="0061269C">
        <w:t>‰</w:t>
      </w:r>
      <w:r w:rsidR="007F28B3" w:rsidRPr="0061269C">
        <w:t xml:space="preserve"> i 2025 til </w:t>
      </w:r>
      <w:r w:rsidRPr="0061269C">
        <w:t xml:space="preserve">3,8 </w:t>
      </w:r>
      <w:r w:rsidR="00387160" w:rsidRPr="0061269C">
        <w:t>‰</w:t>
      </w:r>
      <w:r w:rsidRPr="0061269C">
        <w:t xml:space="preserve"> i 2026, 3,55 </w:t>
      </w:r>
      <w:r w:rsidR="00387160" w:rsidRPr="0061269C">
        <w:t>‰</w:t>
      </w:r>
      <w:r w:rsidRPr="0061269C">
        <w:t xml:space="preserve"> i 2027, 2,55 </w:t>
      </w:r>
      <w:r w:rsidR="00387160" w:rsidRPr="0061269C">
        <w:t>‰</w:t>
      </w:r>
      <w:r w:rsidRPr="0061269C">
        <w:t xml:space="preserve"> i 2028 og 0 </w:t>
      </w:r>
      <w:r w:rsidR="00387160" w:rsidRPr="0061269C">
        <w:t>‰</w:t>
      </w:r>
      <w:r w:rsidRPr="0061269C">
        <w:t xml:space="preserve"> i 2029. </w:t>
      </w:r>
    </w:p>
    <w:p w14:paraId="34547E17" w14:textId="6E9F081A" w:rsidR="00FB59D6" w:rsidRPr="0061269C" w:rsidRDefault="00FB59D6" w:rsidP="00811DEC">
      <w:r w:rsidRPr="0061269C">
        <w:t>Samlet ses en forværring i indtægterne fra dækningsafgift i</w:t>
      </w:r>
      <w:r w:rsidR="007F28B3" w:rsidRPr="0061269C">
        <w:t xml:space="preserve"> </w:t>
      </w:r>
      <w:r w:rsidRPr="0061269C">
        <w:t>f</w:t>
      </w:r>
      <w:r w:rsidR="007F28B3" w:rsidRPr="0061269C">
        <w:t>orhold til</w:t>
      </w:r>
      <w:r w:rsidRPr="0061269C">
        <w:t xml:space="preserve"> budget 2025 i perioden 2026-2028 på 35,2 mio. kr. Dette skyldes</w:t>
      </w:r>
      <w:r w:rsidR="007F28B3" w:rsidRPr="0061269C">
        <w:t>,</w:t>
      </w:r>
      <w:r w:rsidRPr="0061269C">
        <w:t xml:space="preserve"> at de skønnede grundværdier i 2026-28 er </w:t>
      </w:r>
      <w:r w:rsidR="0042402A">
        <w:t>n</w:t>
      </w:r>
      <w:r w:rsidRPr="0061269C">
        <w:t>edjusteret i</w:t>
      </w:r>
      <w:r w:rsidR="007F28B3" w:rsidRPr="0061269C">
        <w:t xml:space="preserve"> </w:t>
      </w:r>
      <w:r w:rsidRPr="0061269C">
        <w:t>f</w:t>
      </w:r>
      <w:r w:rsidR="007F28B3" w:rsidRPr="0061269C">
        <w:t>orhold til</w:t>
      </w:r>
      <w:r w:rsidRPr="0061269C">
        <w:t xml:space="preserve"> budget 2025. </w:t>
      </w:r>
    </w:p>
    <w:p w14:paraId="1CF1D3A8" w14:textId="77777777" w:rsidR="000242D9" w:rsidRPr="0061269C" w:rsidRDefault="000242D9" w:rsidP="00811DEC">
      <w:pPr>
        <w:rPr>
          <w:u w:val="single"/>
        </w:rPr>
      </w:pPr>
      <w:r w:rsidRPr="0061269C">
        <w:rPr>
          <w:u w:val="single"/>
        </w:rPr>
        <w:br w:type="page"/>
      </w:r>
    </w:p>
    <w:p w14:paraId="10DFAAE1" w14:textId="7B0F81C1" w:rsidR="00FB59D6" w:rsidRPr="00811DEC" w:rsidRDefault="00FB59D6" w:rsidP="00811DEC">
      <w:pPr>
        <w:rPr>
          <w:i/>
          <w:iCs/>
        </w:rPr>
      </w:pPr>
      <w:r w:rsidRPr="00811DEC">
        <w:rPr>
          <w:i/>
          <w:iCs/>
        </w:rPr>
        <w:lastRenderedPageBreak/>
        <w:t>Dækningsafgift for offentlige ejendomme</w:t>
      </w:r>
    </w:p>
    <w:p w14:paraId="6FBFAC1D" w14:textId="2012DF48" w:rsidR="00FB59D6" w:rsidRPr="0061269C" w:rsidRDefault="00FB59D6" w:rsidP="00811DEC">
      <w:r w:rsidRPr="0061269C">
        <w:t>For offentlige ejendomme fremgår det af den vedtagne lovgivning</w:t>
      </w:r>
      <w:r w:rsidR="007F28B3" w:rsidRPr="0061269C">
        <w:t>,</w:t>
      </w:r>
      <w:r w:rsidRPr="0061269C">
        <w:t xml:space="preserve"> at der i 2024-2028 skal opkræves dækningsafgift svarende til det beløb, der blev opkrævet i 2023. Niveauet fra budget 2025 er derfor videreført i</w:t>
      </w:r>
      <w:r w:rsidR="0061269C" w:rsidRPr="0061269C">
        <w:t xml:space="preserve"> b</w:t>
      </w:r>
      <w:r w:rsidRPr="0061269C">
        <w:t>udget 2026</w:t>
      </w:r>
      <w:r w:rsidR="0061269C" w:rsidRPr="0061269C">
        <w:t>-2029</w:t>
      </w:r>
      <w:r w:rsidRPr="0061269C">
        <w:t xml:space="preserve">. </w:t>
      </w:r>
    </w:p>
    <w:p w14:paraId="156C72F9" w14:textId="048AAE15" w:rsidR="00FC7317" w:rsidRPr="00811DEC" w:rsidRDefault="00DB3765" w:rsidP="00811DEC">
      <w:pPr>
        <w:pStyle w:val="Overskrift2"/>
      </w:pPr>
      <w:bookmarkStart w:id="13" w:name="_Toc212451860"/>
      <w:r w:rsidRPr="00811DEC">
        <w:t>Selskabsskat</w:t>
      </w:r>
      <w:bookmarkEnd w:id="12"/>
      <w:bookmarkEnd w:id="13"/>
      <w:r w:rsidR="00FC7317" w:rsidRPr="00811DEC">
        <w:t xml:space="preserve"> </w:t>
      </w:r>
    </w:p>
    <w:p w14:paraId="5B4242CB" w14:textId="5B9AA0A0" w:rsidR="00FC7317" w:rsidRPr="00896D83" w:rsidRDefault="00FC7317" w:rsidP="00811DEC">
      <w:bookmarkStart w:id="14" w:name="_Hlk79924378"/>
      <w:r w:rsidRPr="00896D83">
        <w:t>I 2026 afregnes selskabsskatten for 2023. Provenuet til afregning er 991 mio. kr., hvor det afregnede provenu vedr. 2022 i budget 2025 var 1.939 mio. kr. Der er således et fald på 49</w:t>
      </w:r>
      <w:r w:rsidR="00811DEC">
        <w:t xml:space="preserve"> </w:t>
      </w:r>
      <w:r w:rsidRPr="00896D83">
        <w:t xml:space="preserve">%. Dette skyldes, at 2022 var et usædvanligt år, hvor en række energihandelsvirksomheder i Aarhus havde rekordstore overskud grundet energikrisen, der opstod i kølvandet på Ruslands invasion af Ukraine. I 2023 normaliserede </w:t>
      </w:r>
      <w:r w:rsidR="0042402A">
        <w:t xml:space="preserve">virksomhedernes </w:t>
      </w:r>
      <w:r w:rsidRPr="00896D83">
        <w:t xml:space="preserve">regnskaber sig, hvorfor provenuet er væsentligt mindre i 2026 – dog stadig på et højere niveau end Aarhus historisk har haft. Dette skal dog ses i sammenhæng med udviklingen i indtægterne fra selskabsskat på landsplan. </w:t>
      </w:r>
    </w:p>
    <w:p w14:paraId="3890CFDE" w14:textId="4E8A25D6" w:rsidR="00FC7317" w:rsidRPr="00896D83" w:rsidRDefault="00FC7317" w:rsidP="00811DEC">
      <w:r w:rsidRPr="00896D83">
        <w:t xml:space="preserve">Provenuet til afregning i 2026 svarer til 6,4 </w:t>
      </w:r>
      <w:r w:rsidR="00811DEC">
        <w:t>%</w:t>
      </w:r>
      <w:r w:rsidRPr="00896D83">
        <w:t xml:space="preserve"> af selskabsskatten på landsplan, hvor provenuet til afregning i 2025 svarede 14,93 %. </w:t>
      </w:r>
      <w:bookmarkEnd w:id="14"/>
    </w:p>
    <w:p w14:paraId="16CE7A9A" w14:textId="1CA19668" w:rsidR="00FC7317" w:rsidRPr="00896D83" w:rsidRDefault="00FC7317" w:rsidP="00811DEC">
      <w:r w:rsidRPr="00896D83">
        <w:t>I overslagsårene budgetteres normalt med en andel svarende til gennemsnittet for de seneste 5 år. Da andelen i 2025 er væsentligt større end almindeligvis, er der i stedet kun anvendt et gennemsnit over årerne 2022,</w:t>
      </w:r>
      <w:r w:rsidR="00882F97" w:rsidRPr="00896D83">
        <w:t xml:space="preserve"> </w:t>
      </w:r>
      <w:r w:rsidRPr="00896D83">
        <w:t>2023,</w:t>
      </w:r>
      <w:r w:rsidR="00882F97" w:rsidRPr="00896D83">
        <w:t xml:space="preserve"> </w:t>
      </w:r>
      <w:r w:rsidRPr="00896D83">
        <w:t>2024 og 2026. Dette resulterer i, at Aarhusandelen i overslagsårerne bliver 6,14</w:t>
      </w:r>
      <w:r w:rsidR="00957CE4">
        <w:t xml:space="preserve"> </w:t>
      </w:r>
      <w:r w:rsidRPr="00896D83">
        <w:t>%, hvor den i budget 2025 var 6,07</w:t>
      </w:r>
      <w:r w:rsidR="00957CE4">
        <w:t xml:space="preserve"> </w:t>
      </w:r>
      <w:r w:rsidR="00882F97" w:rsidRPr="00896D83">
        <w:t>%</w:t>
      </w:r>
      <w:r w:rsidRPr="00896D83">
        <w:t xml:space="preserve">. </w:t>
      </w:r>
    </w:p>
    <w:p w14:paraId="273D3A3B" w14:textId="2C0FB0BA" w:rsidR="00FC7317" w:rsidRPr="00896D83" w:rsidRDefault="00FC7317" w:rsidP="00811DEC">
      <w:r w:rsidRPr="00896D83">
        <w:t>Denne andel er ganget på KL’s skøn for landsplan for årene 2027-2029. Der er således budgetteret med et provenu på 991</w:t>
      </w:r>
      <w:r w:rsidR="00896D83" w:rsidRPr="00896D83">
        <w:t xml:space="preserve"> </w:t>
      </w:r>
      <w:r w:rsidRPr="00896D83">
        <w:t>mio. kr. i 2026, 1.</w:t>
      </w:r>
      <w:r w:rsidR="00896D83" w:rsidRPr="00896D83">
        <w:t>065</w:t>
      </w:r>
      <w:r w:rsidRPr="00896D83">
        <w:t xml:space="preserve"> mio. kr. i 2027, 1.</w:t>
      </w:r>
      <w:r w:rsidR="00896D83" w:rsidRPr="00896D83">
        <w:t>084</w:t>
      </w:r>
      <w:r w:rsidRPr="00896D83">
        <w:t xml:space="preserve"> mio. kr. i 2028 og 1.1</w:t>
      </w:r>
      <w:r w:rsidR="00896D83" w:rsidRPr="00896D83">
        <w:t>11</w:t>
      </w:r>
      <w:r w:rsidRPr="00896D83">
        <w:t xml:space="preserve"> mio. kr. i 2029.</w:t>
      </w:r>
    </w:p>
    <w:p w14:paraId="354A0CC5" w14:textId="40418043" w:rsidR="001B3FC0" w:rsidRPr="00896D83" w:rsidRDefault="00FC7317" w:rsidP="00811DEC">
      <w:r w:rsidRPr="00896D83">
        <w:t>Det kan bemærkes, at der har været tendens til stigende kommunale indtægter fra selskabsskatten på landsplan, hvilket forventes at fortsætte</w:t>
      </w:r>
      <w:r w:rsidR="0042402A">
        <w:t xml:space="preserve"> i de kommende år</w:t>
      </w:r>
      <w:r w:rsidRPr="00896D83">
        <w:t>. Indtægterne er skævt fordelt mellem kommunerne</w:t>
      </w:r>
      <w:r w:rsidR="00882F97" w:rsidRPr="00896D83">
        <w:t>,</w:t>
      </w:r>
      <w:r w:rsidRPr="00896D83">
        <w:t xml:space="preserve"> og selskabsskatten </w:t>
      </w:r>
      <w:r w:rsidR="00882F97" w:rsidRPr="00896D83">
        <w:t xml:space="preserve">pr. indbygger </w:t>
      </w:r>
      <w:r w:rsidRPr="00896D83">
        <w:t>udlignes på nuværende tidspunkt kun med 50%. I økonomiaftalen for 2026 fremgår</w:t>
      </w:r>
      <w:r w:rsidR="0042402A">
        <w:t xml:space="preserve"> det derfor</w:t>
      </w:r>
      <w:r w:rsidRPr="00896D83">
        <w:t xml:space="preserve">, at der skal findes en løsning på den skæve fordeling med virkning fra 2027. Løsningen skal ske indenfor den samlede kommunale finansiering. Der er </w:t>
      </w:r>
      <w:r w:rsidR="000242D9" w:rsidRPr="00896D83">
        <w:t>derfor pt.</w:t>
      </w:r>
      <w:r w:rsidRPr="00896D83">
        <w:t xml:space="preserve"> usikkerhed om den fremadrettede ordning.</w:t>
      </w:r>
    </w:p>
    <w:p w14:paraId="695BACAF" w14:textId="63004148" w:rsidR="007F4827" w:rsidRPr="00957CE4" w:rsidRDefault="00BF033F" w:rsidP="00957CE4">
      <w:pPr>
        <w:pStyle w:val="Overskrift2"/>
      </w:pPr>
      <w:bookmarkStart w:id="15" w:name="_Toc212451861"/>
      <w:r w:rsidRPr="00957CE4">
        <w:t>Overblik over skatter</w:t>
      </w:r>
      <w:r w:rsidR="007F4827" w:rsidRPr="00957CE4">
        <w:t xml:space="preserve"> i budget 202</w:t>
      </w:r>
      <w:r w:rsidR="00433749" w:rsidRPr="00957CE4">
        <w:t>6</w:t>
      </w:r>
      <w:r w:rsidR="007F4827" w:rsidRPr="00957CE4">
        <w:t>-202</w:t>
      </w:r>
      <w:r w:rsidR="00433749" w:rsidRPr="00957CE4">
        <w:t>9</w:t>
      </w:r>
      <w:bookmarkEnd w:id="15"/>
    </w:p>
    <w:p w14:paraId="7C9E5B8F" w14:textId="649E5E9F" w:rsidR="007F4827" w:rsidRPr="00896D83" w:rsidRDefault="007F4827" w:rsidP="00957CE4">
      <w:r w:rsidRPr="00896D83">
        <w:t>På baggrund af ovenstående forudsætninger ser indtægterne fra skatter i budget 202</w:t>
      </w:r>
      <w:r w:rsidR="00433749" w:rsidRPr="00896D83">
        <w:t>6</w:t>
      </w:r>
      <w:r w:rsidRPr="00896D83">
        <w:t>-202</w:t>
      </w:r>
      <w:r w:rsidR="00433749" w:rsidRPr="00896D83">
        <w:t>9</w:t>
      </w:r>
      <w:r w:rsidRPr="00896D83">
        <w:t xml:space="preserve"> således ud:</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Pr>
      <w:tblGrid>
        <w:gridCol w:w="4795"/>
        <w:gridCol w:w="1070"/>
        <w:gridCol w:w="1070"/>
        <w:gridCol w:w="1112"/>
        <w:gridCol w:w="1112"/>
        <w:gridCol w:w="1070"/>
      </w:tblGrid>
      <w:tr w:rsidR="00C15B55" w:rsidRPr="00C15B55" w14:paraId="4A698A15" w14:textId="77777777" w:rsidTr="00436B71">
        <w:trPr>
          <w:trHeight w:val="397"/>
        </w:trPr>
        <w:tc>
          <w:tcPr>
            <w:tcW w:w="4795" w:type="dxa"/>
            <w:shd w:val="clear" w:color="auto" w:fill="5F9F2A" w:themeFill="accent1"/>
            <w:noWrap/>
            <w:vAlign w:val="center"/>
            <w:hideMark/>
          </w:tcPr>
          <w:p w14:paraId="76095C7A" w14:textId="77777777" w:rsidR="000E3343" w:rsidRPr="00E13C26" w:rsidRDefault="000E3343" w:rsidP="00E13C26">
            <w:pPr>
              <w:pStyle w:val="Tabeloverskrift"/>
            </w:pPr>
            <w:r w:rsidRPr="00E13C26">
              <w:t xml:space="preserve">Mio. kr., løbende priser </w:t>
            </w:r>
          </w:p>
        </w:tc>
        <w:tc>
          <w:tcPr>
            <w:tcW w:w="1070" w:type="dxa"/>
            <w:shd w:val="clear" w:color="auto" w:fill="5F9F2A" w:themeFill="accent1"/>
            <w:vAlign w:val="center"/>
            <w:hideMark/>
          </w:tcPr>
          <w:p w14:paraId="602DB7DB" w14:textId="77777777" w:rsidR="000E3343" w:rsidRPr="00E13C26" w:rsidRDefault="000E3343" w:rsidP="00E13C26">
            <w:pPr>
              <w:pStyle w:val="Tabeloverskrift"/>
              <w:jc w:val="center"/>
            </w:pPr>
            <w:r w:rsidRPr="00E13C26">
              <w:t>B 2025</w:t>
            </w:r>
          </w:p>
        </w:tc>
        <w:tc>
          <w:tcPr>
            <w:tcW w:w="1070" w:type="dxa"/>
            <w:shd w:val="clear" w:color="auto" w:fill="5F9F2A" w:themeFill="accent1"/>
            <w:vAlign w:val="center"/>
            <w:hideMark/>
          </w:tcPr>
          <w:p w14:paraId="54F334A2" w14:textId="77777777" w:rsidR="000E3343" w:rsidRPr="00E13C26" w:rsidRDefault="000E3343" w:rsidP="00E13C26">
            <w:pPr>
              <w:pStyle w:val="Tabeloverskrift"/>
              <w:jc w:val="center"/>
            </w:pPr>
            <w:r w:rsidRPr="00E13C26">
              <w:t>B 2026</w:t>
            </w:r>
          </w:p>
        </w:tc>
        <w:tc>
          <w:tcPr>
            <w:tcW w:w="1112" w:type="dxa"/>
            <w:shd w:val="clear" w:color="auto" w:fill="5F9F2A" w:themeFill="accent1"/>
            <w:vAlign w:val="center"/>
            <w:hideMark/>
          </w:tcPr>
          <w:p w14:paraId="11371028" w14:textId="77777777" w:rsidR="000E3343" w:rsidRPr="00E13C26" w:rsidRDefault="000E3343" w:rsidP="00E13C26">
            <w:pPr>
              <w:pStyle w:val="Tabeloverskrift"/>
              <w:jc w:val="center"/>
            </w:pPr>
            <w:r w:rsidRPr="00E13C26">
              <w:t>BO 2027</w:t>
            </w:r>
          </w:p>
        </w:tc>
        <w:tc>
          <w:tcPr>
            <w:tcW w:w="1112" w:type="dxa"/>
            <w:shd w:val="clear" w:color="auto" w:fill="5F9F2A" w:themeFill="accent1"/>
            <w:vAlign w:val="center"/>
          </w:tcPr>
          <w:p w14:paraId="08739831" w14:textId="77777777" w:rsidR="000E3343" w:rsidRPr="00E13C26" w:rsidRDefault="000E3343" w:rsidP="00E13C26">
            <w:pPr>
              <w:pStyle w:val="Tabeloverskrift"/>
              <w:jc w:val="center"/>
            </w:pPr>
            <w:r w:rsidRPr="00E13C26">
              <w:t>BO 2028</w:t>
            </w:r>
          </w:p>
        </w:tc>
        <w:tc>
          <w:tcPr>
            <w:tcW w:w="1070" w:type="dxa"/>
            <w:shd w:val="clear" w:color="auto" w:fill="5F9F2A" w:themeFill="accent1"/>
            <w:vAlign w:val="center"/>
            <w:hideMark/>
          </w:tcPr>
          <w:p w14:paraId="55A2321E" w14:textId="77777777" w:rsidR="000E3343" w:rsidRPr="00E13C26" w:rsidRDefault="000E3343" w:rsidP="00E13C26">
            <w:pPr>
              <w:pStyle w:val="Tabeloverskrift"/>
              <w:jc w:val="center"/>
            </w:pPr>
            <w:r w:rsidRPr="00E13C26">
              <w:t>BO 2029</w:t>
            </w:r>
          </w:p>
        </w:tc>
      </w:tr>
      <w:tr w:rsidR="00600EEC" w:rsidRPr="00C15B55" w14:paraId="63706C5F" w14:textId="77777777" w:rsidTr="00501814">
        <w:trPr>
          <w:trHeight w:val="284"/>
        </w:trPr>
        <w:tc>
          <w:tcPr>
            <w:tcW w:w="4795" w:type="dxa"/>
            <w:vAlign w:val="center"/>
          </w:tcPr>
          <w:p w14:paraId="4DE311A8" w14:textId="6B1BA283" w:rsidR="00600EEC" w:rsidRPr="00957CE4" w:rsidRDefault="00600EEC" w:rsidP="00957CE4">
            <w:pPr>
              <w:pStyle w:val="Tabeludfyldningiret"/>
              <w:jc w:val="left"/>
            </w:pPr>
            <w:r w:rsidRPr="00957CE4">
              <w:t>Indkomstskat</w:t>
            </w:r>
          </w:p>
        </w:tc>
        <w:tc>
          <w:tcPr>
            <w:tcW w:w="1070" w:type="dxa"/>
            <w:noWrap/>
          </w:tcPr>
          <w:p w14:paraId="1B29458E" w14:textId="48439F47" w:rsidR="00600EEC" w:rsidRPr="00957CE4" w:rsidRDefault="00600EEC" w:rsidP="00957CE4">
            <w:pPr>
              <w:pStyle w:val="Tabeludfyldningiret"/>
            </w:pPr>
            <w:r w:rsidRPr="00957CE4">
              <w:t>-19.544</w:t>
            </w:r>
          </w:p>
        </w:tc>
        <w:tc>
          <w:tcPr>
            <w:tcW w:w="1070" w:type="dxa"/>
            <w:noWrap/>
          </w:tcPr>
          <w:p w14:paraId="195E252A" w14:textId="37ED4D16" w:rsidR="00600EEC" w:rsidRPr="00957CE4" w:rsidRDefault="00600EEC" w:rsidP="00957CE4">
            <w:pPr>
              <w:pStyle w:val="Tabeludfyldningiret"/>
            </w:pPr>
            <w:r w:rsidRPr="00957CE4">
              <w:t>-20.464</w:t>
            </w:r>
          </w:p>
        </w:tc>
        <w:tc>
          <w:tcPr>
            <w:tcW w:w="1112" w:type="dxa"/>
            <w:noWrap/>
          </w:tcPr>
          <w:p w14:paraId="4BC48829" w14:textId="64173E86" w:rsidR="00600EEC" w:rsidRPr="00957CE4" w:rsidRDefault="00600EEC" w:rsidP="00957CE4">
            <w:pPr>
              <w:pStyle w:val="Tabeludfyldningiret"/>
            </w:pPr>
            <w:r w:rsidRPr="00957CE4">
              <w:t>-21.586</w:t>
            </w:r>
          </w:p>
        </w:tc>
        <w:tc>
          <w:tcPr>
            <w:tcW w:w="1112" w:type="dxa"/>
          </w:tcPr>
          <w:p w14:paraId="4DA866CF" w14:textId="5BC134DB" w:rsidR="00600EEC" w:rsidRPr="00957CE4" w:rsidRDefault="00600EEC" w:rsidP="00957CE4">
            <w:pPr>
              <w:pStyle w:val="Tabeludfyldningiret"/>
            </w:pPr>
            <w:r w:rsidRPr="00957CE4">
              <w:t>-22.745</w:t>
            </w:r>
          </w:p>
        </w:tc>
        <w:tc>
          <w:tcPr>
            <w:tcW w:w="1070" w:type="dxa"/>
            <w:noWrap/>
          </w:tcPr>
          <w:p w14:paraId="507CEBD7" w14:textId="3E97F1CB" w:rsidR="00600EEC" w:rsidRPr="00957CE4" w:rsidRDefault="00600EEC" w:rsidP="00957CE4">
            <w:pPr>
              <w:pStyle w:val="Tabeludfyldningiret"/>
            </w:pPr>
            <w:r w:rsidRPr="00957CE4">
              <w:t>-23.888</w:t>
            </w:r>
          </w:p>
        </w:tc>
      </w:tr>
      <w:tr w:rsidR="00600EEC" w:rsidRPr="00C15B55" w14:paraId="0D47EAF4" w14:textId="77777777" w:rsidTr="00501814">
        <w:trPr>
          <w:trHeight w:val="284"/>
        </w:trPr>
        <w:tc>
          <w:tcPr>
            <w:tcW w:w="4795" w:type="dxa"/>
            <w:vAlign w:val="center"/>
          </w:tcPr>
          <w:p w14:paraId="6AFA6D79" w14:textId="2621C728" w:rsidR="00600EEC" w:rsidRPr="00957CE4" w:rsidRDefault="00600EEC" w:rsidP="00957CE4">
            <w:pPr>
              <w:pStyle w:val="Tabeludfyldningiret"/>
              <w:jc w:val="left"/>
            </w:pPr>
            <w:r w:rsidRPr="00957CE4">
              <w:t>Efterregulering af indkomstskat</w:t>
            </w:r>
          </w:p>
        </w:tc>
        <w:tc>
          <w:tcPr>
            <w:tcW w:w="1070" w:type="dxa"/>
            <w:noWrap/>
          </w:tcPr>
          <w:p w14:paraId="2446A98E" w14:textId="06166465" w:rsidR="00600EEC" w:rsidRPr="00957CE4" w:rsidRDefault="00600EEC" w:rsidP="00957CE4">
            <w:pPr>
              <w:pStyle w:val="Tabeludfyldningiret"/>
            </w:pPr>
            <w:r w:rsidRPr="00957CE4">
              <w:t>0</w:t>
            </w:r>
          </w:p>
        </w:tc>
        <w:tc>
          <w:tcPr>
            <w:tcW w:w="1070" w:type="dxa"/>
            <w:noWrap/>
          </w:tcPr>
          <w:p w14:paraId="45E363F5" w14:textId="003D123B" w:rsidR="00600EEC" w:rsidRPr="00957CE4" w:rsidRDefault="00600EEC" w:rsidP="00957CE4">
            <w:pPr>
              <w:pStyle w:val="Tabeludfyldningiret"/>
            </w:pPr>
            <w:r w:rsidRPr="00957CE4">
              <w:t>0</w:t>
            </w:r>
          </w:p>
        </w:tc>
        <w:tc>
          <w:tcPr>
            <w:tcW w:w="1112" w:type="dxa"/>
            <w:noWrap/>
          </w:tcPr>
          <w:p w14:paraId="3F7E90C2" w14:textId="572F522A" w:rsidR="00600EEC" w:rsidRPr="00957CE4" w:rsidRDefault="00600EEC" w:rsidP="00957CE4">
            <w:pPr>
              <w:pStyle w:val="Tabeludfyldningiret"/>
            </w:pPr>
            <w:r w:rsidRPr="00957CE4">
              <w:t>86</w:t>
            </w:r>
          </w:p>
        </w:tc>
        <w:tc>
          <w:tcPr>
            <w:tcW w:w="1112" w:type="dxa"/>
          </w:tcPr>
          <w:p w14:paraId="75844BBF" w14:textId="5B485756" w:rsidR="00600EEC" w:rsidRPr="00957CE4" w:rsidRDefault="00600EEC" w:rsidP="00957CE4">
            <w:pPr>
              <w:pStyle w:val="Tabeludfyldningiret"/>
            </w:pPr>
            <w:r w:rsidRPr="00957CE4">
              <w:t>-67</w:t>
            </w:r>
          </w:p>
        </w:tc>
        <w:tc>
          <w:tcPr>
            <w:tcW w:w="1070" w:type="dxa"/>
            <w:noWrap/>
          </w:tcPr>
          <w:p w14:paraId="6F5AE674" w14:textId="4661828E" w:rsidR="00600EEC" w:rsidRPr="00957CE4" w:rsidRDefault="00600EEC" w:rsidP="00957CE4">
            <w:pPr>
              <w:pStyle w:val="Tabeludfyldningiret"/>
            </w:pPr>
            <w:r w:rsidRPr="00957CE4">
              <w:t>0</w:t>
            </w:r>
          </w:p>
        </w:tc>
      </w:tr>
      <w:tr w:rsidR="00600EEC" w:rsidRPr="00C15B55" w14:paraId="46AE2A51" w14:textId="77777777" w:rsidTr="00501814">
        <w:trPr>
          <w:trHeight w:val="284"/>
        </w:trPr>
        <w:tc>
          <w:tcPr>
            <w:tcW w:w="4795" w:type="dxa"/>
            <w:vAlign w:val="center"/>
          </w:tcPr>
          <w:p w14:paraId="1B0D3B08" w14:textId="10C8267F" w:rsidR="00600EEC" w:rsidRPr="00957CE4" w:rsidRDefault="00600EEC" w:rsidP="00957CE4">
            <w:pPr>
              <w:pStyle w:val="Tabeludfyldningiret"/>
              <w:jc w:val="left"/>
            </w:pPr>
            <w:r w:rsidRPr="00957CE4">
              <w:t>Selskabsskat</w:t>
            </w:r>
          </w:p>
        </w:tc>
        <w:tc>
          <w:tcPr>
            <w:tcW w:w="1070" w:type="dxa"/>
            <w:noWrap/>
          </w:tcPr>
          <w:p w14:paraId="659E51B5" w14:textId="43E9CDA2" w:rsidR="00600EEC" w:rsidRPr="00957CE4" w:rsidRDefault="00600EEC" w:rsidP="00957CE4">
            <w:pPr>
              <w:pStyle w:val="Tabeludfyldningiret"/>
            </w:pPr>
            <w:r w:rsidRPr="00957CE4">
              <w:t>-1.939</w:t>
            </w:r>
          </w:p>
        </w:tc>
        <w:tc>
          <w:tcPr>
            <w:tcW w:w="1070" w:type="dxa"/>
            <w:noWrap/>
          </w:tcPr>
          <w:p w14:paraId="05B1889D" w14:textId="5A5DA358" w:rsidR="00600EEC" w:rsidRPr="00957CE4" w:rsidRDefault="00600EEC" w:rsidP="00957CE4">
            <w:pPr>
              <w:pStyle w:val="Tabeludfyldningiret"/>
            </w:pPr>
            <w:r w:rsidRPr="00957CE4">
              <w:t>-991</w:t>
            </w:r>
          </w:p>
        </w:tc>
        <w:tc>
          <w:tcPr>
            <w:tcW w:w="1112" w:type="dxa"/>
            <w:noWrap/>
          </w:tcPr>
          <w:p w14:paraId="06D2AC2E" w14:textId="062030DA" w:rsidR="00600EEC" w:rsidRPr="00957CE4" w:rsidRDefault="00600EEC" w:rsidP="00957CE4">
            <w:pPr>
              <w:pStyle w:val="Tabeludfyldningiret"/>
            </w:pPr>
            <w:r w:rsidRPr="00957CE4">
              <w:t>-1.065</w:t>
            </w:r>
          </w:p>
        </w:tc>
        <w:tc>
          <w:tcPr>
            <w:tcW w:w="1112" w:type="dxa"/>
          </w:tcPr>
          <w:p w14:paraId="5B241C94" w14:textId="1BA15342" w:rsidR="00600EEC" w:rsidRPr="00957CE4" w:rsidRDefault="00600EEC" w:rsidP="00957CE4">
            <w:pPr>
              <w:pStyle w:val="Tabeludfyldningiret"/>
            </w:pPr>
            <w:r w:rsidRPr="00957CE4">
              <w:t>-1.084</w:t>
            </w:r>
          </w:p>
        </w:tc>
        <w:tc>
          <w:tcPr>
            <w:tcW w:w="1070" w:type="dxa"/>
            <w:noWrap/>
          </w:tcPr>
          <w:p w14:paraId="136938A1" w14:textId="0962CF23" w:rsidR="00600EEC" w:rsidRPr="00957CE4" w:rsidRDefault="00600EEC" w:rsidP="00957CE4">
            <w:pPr>
              <w:pStyle w:val="Tabeludfyldningiret"/>
            </w:pPr>
            <w:r w:rsidRPr="00957CE4">
              <w:t>-1.111</w:t>
            </w:r>
          </w:p>
        </w:tc>
      </w:tr>
      <w:tr w:rsidR="00600EEC" w:rsidRPr="00C15B55" w14:paraId="7CF2255B" w14:textId="77777777" w:rsidTr="00501814">
        <w:trPr>
          <w:trHeight w:val="284"/>
        </w:trPr>
        <w:tc>
          <w:tcPr>
            <w:tcW w:w="4795" w:type="dxa"/>
            <w:vAlign w:val="center"/>
          </w:tcPr>
          <w:p w14:paraId="229A3740" w14:textId="77FFCDED" w:rsidR="00600EEC" w:rsidRPr="00957CE4" w:rsidRDefault="00600EEC" w:rsidP="00957CE4">
            <w:pPr>
              <w:pStyle w:val="Tabeludfyldningiret"/>
              <w:jc w:val="left"/>
            </w:pPr>
            <w:r w:rsidRPr="00957CE4">
              <w:t>Forskerskat</w:t>
            </w:r>
          </w:p>
        </w:tc>
        <w:tc>
          <w:tcPr>
            <w:tcW w:w="1070" w:type="dxa"/>
            <w:noWrap/>
          </w:tcPr>
          <w:p w14:paraId="11465337" w14:textId="6005F6C7" w:rsidR="00600EEC" w:rsidRPr="00957CE4" w:rsidRDefault="00600EEC" w:rsidP="00957CE4">
            <w:pPr>
              <w:pStyle w:val="Tabeludfyldningiret"/>
            </w:pPr>
            <w:r w:rsidRPr="00957CE4">
              <w:t>-50</w:t>
            </w:r>
          </w:p>
        </w:tc>
        <w:tc>
          <w:tcPr>
            <w:tcW w:w="1070" w:type="dxa"/>
            <w:noWrap/>
          </w:tcPr>
          <w:p w14:paraId="51F32AF6" w14:textId="265AB586" w:rsidR="00600EEC" w:rsidRPr="00957CE4" w:rsidRDefault="00600EEC" w:rsidP="00957CE4">
            <w:pPr>
              <w:pStyle w:val="Tabeludfyldningiret"/>
            </w:pPr>
            <w:r w:rsidRPr="00957CE4">
              <w:t>-50</w:t>
            </w:r>
          </w:p>
        </w:tc>
        <w:tc>
          <w:tcPr>
            <w:tcW w:w="1112" w:type="dxa"/>
            <w:noWrap/>
          </w:tcPr>
          <w:p w14:paraId="78C4123B" w14:textId="7539818B" w:rsidR="00600EEC" w:rsidRPr="00957CE4" w:rsidRDefault="00600EEC" w:rsidP="00957CE4">
            <w:pPr>
              <w:pStyle w:val="Tabeludfyldningiret"/>
            </w:pPr>
            <w:r w:rsidRPr="00957CE4">
              <w:t>-50</w:t>
            </w:r>
          </w:p>
        </w:tc>
        <w:tc>
          <w:tcPr>
            <w:tcW w:w="1112" w:type="dxa"/>
          </w:tcPr>
          <w:p w14:paraId="14FC4CBC" w14:textId="3758D3D1" w:rsidR="00600EEC" w:rsidRPr="00957CE4" w:rsidRDefault="00600EEC" w:rsidP="00957CE4">
            <w:pPr>
              <w:pStyle w:val="Tabeludfyldningiret"/>
            </w:pPr>
            <w:r w:rsidRPr="00957CE4">
              <w:t>-50</w:t>
            </w:r>
          </w:p>
        </w:tc>
        <w:tc>
          <w:tcPr>
            <w:tcW w:w="1070" w:type="dxa"/>
            <w:noWrap/>
          </w:tcPr>
          <w:p w14:paraId="2E187FF8" w14:textId="7D2825DD" w:rsidR="00600EEC" w:rsidRPr="00957CE4" w:rsidRDefault="00600EEC" w:rsidP="00957CE4">
            <w:pPr>
              <w:pStyle w:val="Tabeludfyldningiret"/>
            </w:pPr>
            <w:r w:rsidRPr="00957CE4">
              <w:t>-50</w:t>
            </w:r>
          </w:p>
        </w:tc>
      </w:tr>
      <w:tr w:rsidR="00600EEC" w:rsidRPr="00C15B55" w14:paraId="390F0AE7" w14:textId="77777777" w:rsidTr="00501814">
        <w:trPr>
          <w:trHeight w:val="284"/>
        </w:trPr>
        <w:tc>
          <w:tcPr>
            <w:tcW w:w="4795" w:type="dxa"/>
            <w:vAlign w:val="center"/>
          </w:tcPr>
          <w:p w14:paraId="70901336" w14:textId="33D4CC7B" w:rsidR="00600EEC" w:rsidRPr="00957CE4" w:rsidRDefault="00600EEC" w:rsidP="00957CE4">
            <w:pPr>
              <w:pStyle w:val="Tabeludfyldningiret"/>
              <w:jc w:val="left"/>
            </w:pPr>
            <w:r w:rsidRPr="00957CE4">
              <w:t>Dødsboskat</w:t>
            </w:r>
          </w:p>
        </w:tc>
        <w:tc>
          <w:tcPr>
            <w:tcW w:w="1070" w:type="dxa"/>
            <w:noWrap/>
          </w:tcPr>
          <w:p w14:paraId="623DE1E5" w14:textId="56D9D831" w:rsidR="00600EEC" w:rsidRPr="00957CE4" w:rsidRDefault="00600EEC" w:rsidP="00957CE4">
            <w:pPr>
              <w:pStyle w:val="Tabeludfyldningiret"/>
            </w:pPr>
            <w:r w:rsidRPr="00957CE4">
              <w:t>-40</w:t>
            </w:r>
          </w:p>
        </w:tc>
        <w:tc>
          <w:tcPr>
            <w:tcW w:w="1070" w:type="dxa"/>
            <w:noWrap/>
          </w:tcPr>
          <w:p w14:paraId="7B1001F4" w14:textId="20C4CD6A" w:rsidR="00600EEC" w:rsidRPr="00957CE4" w:rsidRDefault="00600EEC" w:rsidP="00957CE4">
            <w:pPr>
              <w:pStyle w:val="Tabeludfyldningiret"/>
            </w:pPr>
            <w:r w:rsidRPr="00957CE4">
              <w:t>-33</w:t>
            </w:r>
          </w:p>
        </w:tc>
        <w:tc>
          <w:tcPr>
            <w:tcW w:w="1112" w:type="dxa"/>
            <w:noWrap/>
          </w:tcPr>
          <w:p w14:paraId="3027DFD5" w14:textId="2BC468E4" w:rsidR="00600EEC" w:rsidRPr="00957CE4" w:rsidRDefault="00600EEC" w:rsidP="00957CE4">
            <w:pPr>
              <w:pStyle w:val="Tabeludfyldningiret"/>
            </w:pPr>
            <w:r w:rsidRPr="00957CE4">
              <w:t>-15</w:t>
            </w:r>
          </w:p>
        </w:tc>
        <w:tc>
          <w:tcPr>
            <w:tcW w:w="1112" w:type="dxa"/>
          </w:tcPr>
          <w:p w14:paraId="04C2C154" w14:textId="6C210A2B" w:rsidR="00600EEC" w:rsidRPr="00957CE4" w:rsidRDefault="00600EEC" w:rsidP="00957CE4">
            <w:pPr>
              <w:pStyle w:val="Tabeludfyldningiret"/>
            </w:pPr>
            <w:r w:rsidRPr="00957CE4">
              <w:t>-15</w:t>
            </w:r>
          </w:p>
        </w:tc>
        <w:tc>
          <w:tcPr>
            <w:tcW w:w="1070" w:type="dxa"/>
            <w:noWrap/>
          </w:tcPr>
          <w:p w14:paraId="3E7F69EA" w14:textId="143898B2" w:rsidR="00600EEC" w:rsidRPr="00957CE4" w:rsidRDefault="00600EEC" w:rsidP="00957CE4">
            <w:pPr>
              <w:pStyle w:val="Tabeludfyldningiret"/>
            </w:pPr>
            <w:r w:rsidRPr="00957CE4">
              <w:t>-15</w:t>
            </w:r>
          </w:p>
        </w:tc>
      </w:tr>
      <w:tr w:rsidR="00600EEC" w:rsidRPr="00C15B55" w14:paraId="0185DC5C" w14:textId="77777777" w:rsidTr="00501814">
        <w:trPr>
          <w:trHeight w:val="284"/>
        </w:trPr>
        <w:tc>
          <w:tcPr>
            <w:tcW w:w="4795" w:type="dxa"/>
            <w:vAlign w:val="center"/>
          </w:tcPr>
          <w:p w14:paraId="1122120B" w14:textId="18A7F3D5" w:rsidR="00600EEC" w:rsidRPr="00957CE4" w:rsidRDefault="00600EEC" w:rsidP="00957CE4">
            <w:pPr>
              <w:pStyle w:val="Tabeludfyldningiret"/>
              <w:jc w:val="left"/>
            </w:pPr>
            <w:r w:rsidRPr="00957CE4">
              <w:t>Grundskyld</w:t>
            </w:r>
          </w:p>
        </w:tc>
        <w:tc>
          <w:tcPr>
            <w:tcW w:w="1070" w:type="dxa"/>
            <w:noWrap/>
          </w:tcPr>
          <w:p w14:paraId="631AE678" w14:textId="62AEBE95" w:rsidR="00600EEC" w:rsidRPr="00957CE4" w:rsidRDefault="00600EEC" w:rsidP="00957CE4">
            <w:pPr>
              <w:pStyle w:val="Tabeludfyldningiret"/>
            </w:pPr>
            <w:r w:rsidRPr="00957CE4">
              <w:t>-1.910</w:t>
            </w:r>
          </w:p>
        </w:tc>
        <w:tc>
          <w:tcPr>
            <w:tcW w:w="1070" w:type="dxa"/>
            <w:noWrap/>
          </w:tcPr>
          <w:p w14:paraId="1A086575" w14:textId="72597DA5" w:rsidR="00600EEC" w:rsidRPr="00957CE4" w:rsidRDefault="00600EEC" w:rsidP="00957CE4">
            <w:pPr>
              <w:pStyle w:val="Tabeludfyldningiret"/>
            </w:pPr>
            <w:r w:rsidRPr="00957CE4">
              <w:t>-1.801</w:t>
            </w:r>
          </w:p>
        </w:tc>
        <w:tc>
          <w:tcPr>
            <w:tcW w:w="1112" w:type="dxa"/>
            <w:noWrap/>
          </w:tcPr>
          <w:p w14:paraId="4F290781" w14:textId="2ED7E9A4" w:rsidR="00600EEC" w:rsidRPr="00957CE4" w:rsidRDefault="00600EEC" w:rsidP="00957CE4">
            <w:pPr>
              <w:pStyle w:val="Tabeludfyldningiret"/>
            </w:pPr>
            <w:r w:rsidRPr="00957CE4">
              <w:t>-1.867</w:t>
            </w:r>
          </w:p>
        </w:tc>
        <w:tc>
          <w:tcPr>
            <w:tcW w:w="1112" w:type="dxa"/>
          </w:tcPr>
          <w:p w14:paraId="7411BD12" w14:textId="0758139F" w:rsidR="00600EEC" w:rsidRPr="00957CE4" w:rsidRDefault="00600EEC" w:rsidP="00957CE4">
            <w:pPr>
              <w:pStyle w:val="Tabeludfyldningiret"/>
            </w:pPr>
            <w:r w:rsidRPr="00957CE4">
              <w:t>-1.970</w:t>
            </w:r>
          </w:p>
        </w:tc>
        <w:tc>
          <w:tcPr>
            <w:tcW w:w="1070" w:type="dxa"/>
            <w:noWrap/>
          </w:tcPr>
          <w:p w14:paraId="678F5A3E" w14:textId="5B1725E2" w:rsidR="00600EEC" w:rsidRPr="00957CE4" w:rsidRDefault="00600EEC" w:rsidP="00957CE4">
            <w:pPr>
              <w:pStyle w:val="Tabeludfyldningiret"/>
            </w:pPr>
            <w:r w:rsidRPr="00957CE4">
              <w:t>-2.001</w:t>
            </w:r>
          </w:p>
        </w:tc>
      </w:tr>
      <w:tr w:rsidR="00600EEC" w:rsidRPr="00C15B55" w14:paraId="6E5521BA" w14:textId="77777777" w:rsidTr="00501814">
        <w:trPr>
          <w:trHeight w:val="284"/>
        </w:trPr>
        <w:tc>
          <w:tcPr>
            <w:tcW w:w="4795" w:type="dxa"/>
            <w:vAlign w:val="center"/>
          </w:tcPr>
          <w:p w14:paraId="0763751D" w14:textId="4A129137" w:rsidR="00600EEC" w:rsidRPr="00957CE4" w:rsidRDefault="00600EEC" w:rsidP="00957CE4">
            <w:pPr>
              <w:pStyle w:val="Tabeludfyldningiret"/>
              <w:jc w:val="left"/>
            </w:pPr>
            <w:r w:rsidRPr="00957CE4">
              <w:t>Dækningsafgift - off</w:t>
            </w:r>
            <w:r w:rsidR="00811DEC" w:rsidRPr="00957CE4">
              <w:t>entlige</w:t>
            </w:r>
            <w:r w:rsidRPr="00957CE4">
              <w:t xml:space="preserve"> grundværdier</w:t>
            </w:r>
          </w:p>
        </w:tc>
        <w:tc>
          <w:tcPr>
            <w:tcW w:w="1070" w:type="dxa"/>
            <w:noWrap/>
          </w:tcPr>
          <w:p w14:paraId="0D909C27" w14:textId="2115741F" w:rsidR="00600EEC" w:rsidRPr="00957CE4" w:rsidRDefault="00600EEC" w:rsidP="00957CE4">
            <w:pPr>
              <w:pStyle w:val="Tabeludfyldningiret"/>
            </w:pPr>
            <w:r w:rsidRPr="00957CE4">
              <w:t>-136</w:t>
            </w:r>
          </w:p>
        </w:tc>
        <w:tc>
          <w:tcPr>
            <w:tcW w:w="1070" w:type="dxa"/>
            <w:noWrap/>
          </w:tcPr>
          <w:p w14:paraId="7FC32F23" w14:textId="625DD52C" w:rsidR="00600EEC" w:rsidRPr="00957CE4" w:rsidRDefault="00600EEC" w:rsidP="00957CE4">
            <w:pPr>
              <w:pStyle w:val="Tabeludfyldningiret"/>
            </w:pPr>
            <w:r w:rsidRPr="00957CE4">
              <w:t>-136</w:t>
            </w:r>
          </w:p>
        </w:tc>
        <w:tc>
          <w:tcPr>
            <w:tcW w:w="1112" w:type="dxa"/>
            <w:noWrap/>
          </w:tcPr>
          <w:p w14:paraId="7DF4454A" w14:textId="43681DDF" w:rsidR="00600EEC" w:rsidRPr="00957CE4" w:rsidRDefault="00600EEC" w:rsidP="00957CE4">
            <w:pPr>
              <w:pStyle w:val="Tabeludfyldningiret"/>
            </w:pPr>
            <w:r w:rsidRPr="00957CE4">
              <w:t>-136</w:t>
            </w:r>
          </w:p>
        </w:tc>
        <w:tc>
          <w:tcPr>
            <w:tcW w:w="1112" w:type="dxa"/>
          </w:tcPr>
          <w:p w14:paraId="1F131BF3" w14:textId="48471E54" w:rsidR="00600EEC" w:rsidRPr="00957CE4" w:rsidRDefault="00600EEC" w:rsidP="00957CE4">
            <w:pPr>
              <w:pStyle w:val="Tabeludfyldningiret"/>
            </w:pPr>
            <w:r w:rsidRPr="00957CE4">
              <w:t>-136</w:t>
            </w:r>
          </w:p>
        </w:tc>
        <w:tc>
          <w:tcPr>
            <w:tcW w:w="1070" w:type="dxa"/>
            <w:noWrap/>
          </w:tcPr>
          <w:p w14:paraId="3B23FAB1" w14:textId="5F7895C3" w:rsidR="00600EEC" w:rsidRPr="00957CE4" w:rsidRDefault="00600EEC" w:rsidP="00957CE4">
            <w:pPr>
              <w:pStyle w:val="Tabeludfyldningiret"/>
            </w:pPr>
            <w:r w:rsidRPr="00957CE4">
              <w:t>-136</w:t>
            </w:r>
          </w:p>
        </w:tc>
      </w:tr>
      <w:tr w:rsidR="00600EEC" w:rsidRPr="00C15B55" w14:paraId="1963BB1C" w14:textId="77777777" w:rsidTr="00501814">
        <w:trPr>
          <w:trHeight w:val="284"/>
        </w:trPr>
        <w:tc>
          <w:tcPr>
            <w:tcW w:w="4795" w:type="dxa"/>
            <w:vAlign w:val="center"/>
          </w:tcPr>
          <w:p w14:paraId="52FBDD12" w14:textId="7E81D05C" w:rsidR="00600EEC" w:rsidRPr="00957CE4" w:rsidRDefault="00600EEC" w:rsidP="00957CE4">
            <w:pPr>
              <w:pStyle w:val="Tabeludfyldningiret"/>
              <w:jc w:val="left"/>
            </w:pPr>
            <w:r w:rsidRPr="00957CE4">
              <w:t>Dækningsafgift - erhvervsejendomme</w:t>
            </w:r>
          </w:p>
        </w:tc>
        <w:tc>
          <w:tcPr>
            <w:tcW w:w="1070" w:type="dxa"/>
            <w:noWrap/>
          </w:tcPr>
          <w:p w14:paraId="235CE929" w14:textId="5E61F089" w:rsidR="00600EEC" w:rsidRPr="00957CE4" w:rsidRDefault="00600EEC" w:rsidP="00957CE4">
            <w:pPr>
              <w:pStyle w:val="Tabeludfyldningiret"/>
            </w:pPr>
            <w:r w:rsidRPr="00957CE4">
              <w:t>-217</w:t>
            </w:r>
          </w:p>
        </w:tc>
        <w:tc>
          <w:tcPr>
            <w:tcW w:w="1070" w:type="dxa"/>
            <w:noWrap/>
          </w:tcPr>
          <w:p w14:paraId="3E6999C5" w14:textId="68AAE6B2" w:rsidR="00600EEC" w:rsidRPr="00957CE4" w:rsidRDefault="00600EEC" w:rsidP="00957CE4">
            <w:pPr>
              <w:pStyle w:val="Tabeludfyldningiret"/>
            </w:pPr>
            <w:r w:rsidRPr="00957CE4">
              <w:t>-126</w:t>
            </w:r>
          </w:p>
        </w:tc>
        <w:tc>
          <w:tcPr>
            <w:tcW w:w="1112" w:type="dxa"/>
            <w:noWrap/>
          </w:tcPr>
          <w:p w14:paraId="743CE62B" w14:textId="4FC02C75" w:rsidR="00600EEC" w:rsidRPr="00957CE4" w:rsidRDefault="00600EEC" w:rsidP="00957CE4">
            <w:pPr>
              <w:pStyle w:val="Tabeludfyldningiret"/>
            </w:pPr>
            <w:r w:rsidRPr="00957CE4">
              <w:t>-196</w:t>
            </w:r>
          </w:p>
        </w:tc>
        <w:tc>
          <w:tcPr>
            <w:tcW w:w="1112" w:type="dxa"/>
          </w:tcPr>
          <w:p w14:paraId="5F56E406" w14:textId="4C868B30" w:rsidR="00600EEC" w:rsidRPr="00957CE4" w:rsidRDefault="00600EEC" w:rsidP="00957CE4">
            <w:pPr>
              <w:pStyle w:val="Tabeludfyldningiret"/>
            </w:pPr>
            <w:r w:rsidRPr="00957CE4">
              <w:t>-93</w:t>
            </w:r>
          </w:p>
        </w:tc>
        <w:tc>
          <w:tcPr>
            <w:tcW w:w="1070" w:type="dxa"/>
            <w:noWrap/>
          </w:tcPr>
          <w:p w14:paraId="2376A34E" w14:textId="0C4EBFEE" w:rsidR="00600EEC" w:rsidRPr="00957CE4" w:rsidRDefault="00600EEC" w:rsidP="00957CE4">
            <w:pPr>
              <w:pStyle w:val="Tabeludfyldningiret"/>
            </w:pPr>
            <w:r w:rsidRPr="00957CE4">
              <w:t>0</w:t>
            </w:r>
          </w:p>
        </w:tc>
      </w:tr>
      <w:tr w:rsidR="00600EEC" w:rsidRPr="00C15B55" w14:paraId="43463253" w14:textId="77777777" w:rsidTr="00501814">
        <w:trPr>
          <w:trHeight w:val="284"/>
        </w:trPr>
        <w:tc>
          <w:tcPr>
            <w:tcW w:w="4795" w:type="dxa"/>
            <w:vAlign w:val="center"/>
          </w:tcPr>
          <w:p w14:paraId="220DD77F" w14:textId="451304D3" w:rsidR="00600EEC" w:rsidRPr="00957CE4" w:rsidRDefault="00600EEC" w:rsidP="00957CE4">
            <w:pPr>
              <w:pStyle w:val="Tabeludfyldningiret"/>
              <w:jc w:val="left"/>
              <w:rPr>
                <w:b/>
                <w:bCs/>
              </w:rPr>
            </w:pPr>
            <w:r w:rsidRPr="00957CE4">
              <w:rPr>
                <w:b/>
                <w:bCs/>
              </w:rPr>
              <w:t>I alt</w:t>
            </w:r>
          </w:p>
        </w:tc>
        <w:tc>
          <w:tcPr>
            <w:tcW w:w="1070" w:type="dxa"/>
            <w:noWrap/>
          </w:tcPr>
          <w:p w14:paraId="0810F111" w14:textId="79EB6BE3" w:rsidR="00600EEC" w:rsidRPr="00957CE4" w:rsidRDefault="00600EEC" w:rsidP="00957CE4">
            <w:pPr>
              <w:pStyle w:val="Tabeludfyldningiret"/>
              <w:rPr>
                <w:b/>
                <w:bCs/>
              </w:rPr>
            </w:pPr>
            <w:r w:rsidRPr="00957CE4">
              <w:rPr>
                <w:b/>
                <w:bCs/>
              </w:rPr>
              <w:t>-23.835</w:t>
            </w:r>
          </w:p>
        </w:tc>
        <w:tc>
          <w:tcPr>
            <w:tcW w:w="1070" w:type="dxa"/>
            <w:noWrap/>
          </w:tcPr>
          <w:p w14:paraId="0CFCC90F" w14:textId="523BADC8" w:rsidR="00600EEC" w:rsidRPr="00957CE4" w:rsidRDefault="00600EEC" w:rsidP="00957CE4">
            <w:pPr>
              <w:pStyle w:val="Tabeludfyldningiret"/>
              <w:rPr>
                <w:b/>
                <w:bCs/>
              </w:rPr>
            </w:pPr>
            <w:r w:rsidRPr="00957CE4">
              <w:rPr>
                <w:b/>
                <w:bCs/>
              </w:rPr>
              <w:t>-23.602</w:t>
            </w:r>
          </w:p>
        </w:tc>
        <w:tc>
          <w:tcPr>
            <w:tcW w:w="1112" w:type="dxa"/>
            <w:noWrap/>
          </w:tcPr>
          <w:p w14:paraId="58B9FA8C" w14:textId="08E0C821" w:rsidR="00600EEC" w:rsidRPr="00957CE4" w:rsidRDefault="00600EEC" w:rsidP="00957CE4">
            <w:pPr>
              <w:pStyle w:val="Tabeludfyldningiret"/>
              <w:rPr>
                <w:b/>
                <w:bCs/>
              </w:rPr>
            </w:pPr>
            <w:r w:rsidRPr="00957CE4">
              <w:rPr>
                <w:b/>
                <w:bCs/>
              </w:rPr>
              <w:t>-24.829</w:t>
            </w:r>
          </w:p>
        </w:tc>
        <w:tc>
          <w:tcPr>
            <w:tcW w:w="1112" w:type="dxa"/>
          </w:tcPr>
          <w:p w14:paraId="71CDAC3E" w14:textId="33EB373D" w:rsidR="00600EEC" w:rsidRPr="00957CE4" w:rsidRDefault="00600EEC" w:rsidP="00957CE4">
            <w:pPr>
              <w:pStyle w:val="Tabeludfyldningiret"/>
              <w:rPr>
                <w:b/>
                <w:bCs/>
              </w:rPr>
            </w:pPr>
            <w:r w:rsidRPr="00957CE4">
              <w:rPr>
                <w:b/>
                <w:bCs/>
              </w:rPr>
              <w:t>-26.159</w:t>
            </w:r>
          </w:p>
        </w:tc>
        <w:tc>
          <w:tcPr>
            <w:tcW w:w="1070" w:type="dxa"/>
            <w:noWrap/>
          </w:tcPr>
          <w:p w14:paraId="7A55A920" w14:textId="28D3B483" w:rsidR="00600EEC" w:rsidRPr="00957CE4" w:rsidRDefault="00600EEC" w:rsidP="00957CE4">
            <w:pPr>
              <w:pStyle w:val="Tabeludfyldningiret"/>
              <w:rPr>
                <w:b/>
                <w:bCs/>
              </w:rPr>
            </w:pPr>
            <w:r w:rsidRPr="00957CE4">
              <w:rPr>
                <w:b/>
                <w:bCs/>
              </w:rPr>
              <w:t>-27.201</w:t>
            </w:r>
          </w:p>
        </w:tc>
      </w:tr>
      <w:tr w:rsidR="00600EEC" w:rsidRPr="00C15B55" w14:paraId="4B538C27" w14:textId="77777777" w:rsidTr="00501814">
        <w:trPr>
          <w:trHeight w:val="284"/>
        </w:trPr>
        <w:tc>
          <w:tcPr>
            <w:tcW w:w="4795" w:type="dxa"/>
            <w:vAlign w:val="center"/>
          </w:tcPr>
          <w:p w14:paraId="7705842C" w14:textId="562A4D3F" w:rsidR="00600EEC" w:rsidRPr="00957CE4" w:rsidRDefault="00600EEC" w:rsidP="00957CE4">
            <w:pPr>
              <w:pStyle w:val="Tabeludfyldningiret"/>
              <w:jc w:val="left"/>
            </w:pPr>
            <w:r w:rsidRPr="00957CE4">
              <w:t>Ændring i forhold til Budget 2025</w:t>
            </w:r>
          </w:p>
        </w:tc>
        <w:tc>
          <w:tcPr>
            <w:tcW w:w="1070" w:type="dxa"/>
            <w:noWrap/>
          </w:tcPr>
          <w:p w14:paraId="29AC8D03" w14:textId="6B4E92E7" w:rsidR="00600EEC" w:rsidRPr="00957CE4" w:rsidRDefault="00600EEC" w:rsidP="00957CE4">
            <w:pPr>
              <w:pStyle w:val="Tabeludfyldningiret"/>
            </w:pPr>
            <w:r w:rsidRPr="00957CE4">
              <w:t>0</w:t>
            </w:r>
          </w:p>
        </w:tc>
        <w:tc>
          <w:tcPr>
            <w:tcW w:w="1070" w:type="dxa"/>
            <w:noWrap/>
          </w:tcPr>
          <w:p w14:paraId="5BAA7DD6" w14:textId="3A2A8304" w:rsidR="00600EEC" w:rsidRPr="00957CE4" w:rsidRDefault="00600EEC" w:rsidP="00957CE4">
            <w:pPr>
              <w:pStyle w:val="Tabeludfyldningiret"/>
            </w:pPr>
            <w:r w:rsidRPr="00957CE4">
              <w:t>117</w:t>
            </w:r>
          </w:p>
        </w:tc>
        <w:tc>
          <w:tcPr>
            <w:tcW w:w="1112" w:type="dxa"/>
            <w:noWrap/>
          </w:tcPr>
          <w:p w14:paraId="36AA5B1A" w14:textId="38E853A2" w:rsidR="00600EEC" w:rsidRPr="00957CE4" w:rsidRDefault="00600EEC" w:rsidP="00957CE4">
            <w:pPr>
              <w:pStyle w:val="Tabeludfyldningiret"/>
            </w:pPr>
            <w:r w:rsidRPr="00957CE4">
              <w:t>49</w:t>
            </w:r>
          </w:p>
        </w:tc>
        <w:tc>
          <w:tcPr>
            <w:tcW w:w="1112" w:type="dxa"/>
          </w:tcPr>
          <w:p w14:paraId="4075BE8D" w14:textId="1C7B72CF" w:rsidR="00600EEC" w:rsidRPr="00957CE4" w:rsidRDefault="00600EEC" w:rsidP="00957CE4">
            <w:pPr>
              <w:pStyle w:val="Tabeludfyldningiret"/>
            </w:pPr>
            <w:r w:rsidRPr="00957CE4">
              <w:t>-545</w:t>
            </w:r>
          </w:p>
        </w:tc>
        <w:tc>
          <w:tcPr>
            <w:tcW w:w="1070" w:type="dxa"/>
            <w:noWrap/>
          </w:tcPr>
          <w:p w14:paraId="001BF35B" w14:textId="706E3023" w:rsidR="00600EEC" w:rsidRPr="00957CE4" w:rsidRDefault="00600EEC" w:rsidP="00957CE4">
            <w:pPr>
              <w:pStyle w:val="Tabeludfyldningiret"/>
            </w:pPr>
          </w:p>
        </w:tc>
      </w:tr>
    </w:tbl>
    <w:p w14:paraId="3F753A48" w14:textId="2088BBFE" w:rsidR="005968F4" w:rsidRPr="00C15B55" w:rsidRDefault="005968F4" w:rsidP="00AC6A6D">
      <w:pPr>
        <w:rPr>
          <w:color w:val="FF0000"/>
        </w:rPr>
      </w:pPr>
    </w:p>
    <w:p w14:paraId="1FAA4691" w14:textId="78F40731" w:rsidR="00DA3A8E" w:rsidRPr="00C2724C" w:rsidRDefault="00DA3A8E" w:rsidP="00C2724C">
      <w:pPr>
        <w:pStyle w:val="Overskrift1"/>
      </w:pPr>
      <w:bookmarkStart w:id="16" w:name="_Toc212451862"/>
      <w:r w:rsidRPr="00C2724C">
        <w:lastRenderedPageBreak/>
        <w:t>Generelle tilskud og udligning</w:t>
      </w:r>
      <w:bookmarkEnd w:id="16"/>
    </w:p>
    <w:p w14:paraId="670C3FB2" w14:textId="3361D77C" w:rsidR="00315AAA" w:rsidRPr="00C15B55" w:rsidRDefault="00B13DDC" w:rsidP="007D0926">
      <w:r w:rsidRPr="00C15B55">
        <w:t xml:space="preserve">Indtægterne fra generelle tilskud og udligning i </w:t>
      </w:r>
      <w:r w:rsidR="00CF3DBF" w:rsidRPr="00C15B55">
        <w:t>budget 202</w:t>
      </w:r>
      <w:r w:rsidR="00192B20" w:rsidRPr="00C15B55">
        <w:t>6</w:t>
      </w:r>
      <w:r w:rsidR="00CF3DBF" w:rsidRPr="00C15B55">
        <w:t>-202</w:t>
      </w:r>
      <w:r w:rsidR="00192B20" w:rsidRPr="00C15B55">
        <w:t>9</w:t>
      </w:r>
      <w:r w:rsidR="00CF3DBF" w:rsidRPr="00C15B55">
        <w:t xml:space="preserve"> </w:t>
      </w:r>
      <w:r w:rsidR="00EE13F9" w:rsidRPr="00C15B55">
        <w:t xml:space="preserve">er </w:t>
      </w:r>
      <w:r w:rsidR="00192B20" w:rsidRPr="00C15B55">
        <w:t xml:space="preserve">som nævnt </w:t>
      </w:r>
      <w:r w:rsidR="00EE13F9" w:rsidRPr="00C15B55">
        <w:t xml:space="preserve">budgetteret med udgangspunkt i </w:t>
      </w:r>
      <w:r w:rsidR="00C2724C">
        <w:t xml:space="preserve">valg af selvbudgettering </w:t>
      </w:r>
      <w:r w:rsidR="00192B20" w:rsidRPr="00C15B55">
        <w:t>for</w:t>
      </w:r>
      <w:r w:rsidR="00EE13F9" w:rsidRPr="00C15B55">
        <w:t xml:space="preserve"> </w:t>
      </w:r>
      <w:r w:rsidR="00E87601" w:rsidRPr="00C15B55">
        <w:t>indkomstskat</w:t>
      </w:r>
      <w:r w:rsidR="000B2A57" w:rsidRPr="00C15B55">
        <w:t>, tilskud og udligning samt på</w:t>
      </w:r>
      <w:r w:rsidR="000A60E2" w:rsidRPr="00C15B55">
        <w:t xml:space="preserve"> baggrund af</w:t>
      </w:r>
      <w:r w:rsidR="000B2A57" w:rsidRPr="00C15B55">
        <w:t xml:space="preserve"> </w:t>
      </w:r>
      <w:r w:rsidR="0096317D" w:rsidRPr="00C15B55">
        <w:t xml:space="preserve">Indenrigs- og </w:t>
      </w:r>
      <w:r w:rsidR="00A77BE0" w:rsidRPr="00C15B55">
        <w:t>Sundheds</w:t>
      </w:r>
      <w:r w:rsidR="0096317D" w:rsidRPr="00C15B55">
        <w:t xml:space="preserve">ministeriets </w:t>
      </w:r>
      <w:r w:rsidRPr="00C15B55">
        <w:t xml:space="preserve">tilskudsudmelding </w:t>
      </w:r>
      <w:r w:rsidR="0096317D" w:rsidRPr="00C15B55">
        <w:t>for 202</w:t>
      </w:r>
      <w:r w:rsidR="000A60E2" w:rsidRPr="00C15B55">
        <w:t>6</w:t>
      </w:r>
      <w:r w:rsidR="0096317D" w:rsidRPr="00C15B55">
        <w:t xml:space="preserve"> </w:t>
      </w:r>
      <w:r w:rsidR="00E87601" w:rsidRPr="00C15B55">
        <w:t xml:space="preserve">og </w:t>
      </w:r>
      <w:r w:rsidRPr="00C15B55">
        <w:t>KL´s</w:t>
      </w:r>
      <w:r w:rsidR="00E87601" w:rsidRPr="00C15B55">
        <w:t xml:space="preserve"> </w:t>
      </w:r>
      <w:r w:rsidRPr="00C15B55">
        <w:t>skatte- og tilskudsmodel</w:t>
      </w:r>
      <w:r w:rsidR="00315AAA" w:rsidRPr="00C15B55">
        <w:t>.</w:t>
      </w:r>
      <w:r w:rsidR="000A3761" w:rsidRPr="00C15B55">
        <w:t xml:space="preserve"> </w:t>
      </w:r>
    </w:p>
    <w:p w14:paraId="71887AC7" w14:textId="37F16D31" w:rsidR="00DA3A8E" w:rsidRPr="00C15B55" w:rsidRDefault="00DA3A8E" w:rsidP="007D0926">
      <w:r w:rsidRPr="00C15B55">
        <w:t>Med d</w:t>
      </w:r>
      <w:r w:rsidR="00B13DDC" w:rsidRPr="00C15B55">
        <w:t>isse forudsætninger</w:t>
      </w:r>
      <w:r w:rsidRPr="00C15B55">
        <w:t xml:space="preserve"> er der budgetteret med samlede indtægter fra generelle tilskud og udligning i budget</w:t>
      </w:r>
      <w:r w:rsidR="00CF3DBF" w:rsidRPr="00C15B55">
        <w:t>tet</w:t>
      </w:r>
      <w:r w:rsidRPr="00C15B55">
        <w:t xml:space="preserve"> for 20</w:t>
      </w:r>
      <w:r w:rsidR="0064489C" w:rsidRPr="00C15B55">
        <w:t>2</w:t>
      </w:r>
      <w:r w:rsidR="000A60E2" w:rsidRPr="00C15B55">
        <w:t>6</w:t>
      </w:r>
      <w:r w:rsidR="00B13DDC" w:rsidRPr="00C15B55">
        <w:t>-202</w:t>
      </w:r>
      <w:r w:rsidR="000A60E2" w:rsidRPr="00C15B55">
        <w:t>9</w:t>
      </w:r>
      <w:r w:rsidRPr="00C15B55">
        <w:t xml:space="preserve"> på </w:t>
      </w:r>
      <w:r w:rsidR="000A60E2" w:rsidRPr="00C15B55">
        <w:t>4.</w:t>
      </w:r>
      <w:r w:rsidR="00C2724C">
        <w:t>149</w:t>
      </w:r>
      <w:r w:rsidR="00200EF5" w:rsidRPr="00C15B55">
        <w:t xml:space="preserve"> </w:t>
      </w:r>
      <w:r w:rsidRPr="00C15B55">
        <w:t>mio. kr. i 20</w:t>
      </w:r>
      <w:r w:rsidR="0064489C" w:rsidRPr="00C15B55">
        <w:t>2</w:t>
      </w:r>
      <w:r w:rsidR="000A60E2" w:rsidRPr="00C15B55">
        <w:t>6</w:t>
      </w:r>
      <w:r w:rsidRPr="00C15B55">
        <w:t xml:space="preserve">, </w:t>
      </w:r>
      <w:r w:rsidR="000A60E2" w:rsidRPr="00C15B55">
        <w:t>3.</w:t>
      </w:r>
      <w:r w:rsidR="00C2724C">
        <w:t>785</w:t>
      </w:r>
      <w:r w:rsidRPr="00C15B55">
        <w:t xml:space="preserve"> mio. kr. i 202</w:t>
      </w:r>
      <w:r w:rsidR="000A60E2" w:rsidRPr="00C15B55">
        <w:t>7</w:t>
      </w:r>
      <w:r w:rsidRPr="00C15B55">
        <w:t xml:space="preserve">, </w:t>
      </w:r>
      <w:r w:rsidR="000A60E2" w:rsidRPr="00C15B55">
        <w:t>3.</w:t>
      </w:r>
      <w:r w:rsidR="007D0926">
        <w:t>759</w:t>
      </w:r>
      <w:r w:rsidRPr="00C15B55">
        <w:t xml:space="preserve"> mio. kr. i 202</w:t>
      </w:r>
      <w:r w:rsidR="000A60E2" w:rsidRPr="00C15B55">
        <w:t>8</w:t>
      </w:r>
      <w:r w:rsidRPr="00C15B55">
        <w:t xml:space="preserve"> og </w:t>
      </w:r>
      <w:r w:rsidR="000A60E2" w:rsidRPr="00C15B55">
        <w:t>3.</w:t>
      </w:r>
      <w:r w:rsidR="007D0926">
        <w:t>823</w:t>
      </w:r>
      <w:r w:rsidR="0045149B" w:rsidRPr="00C15B55">
        <w:t xml:space="preserve"> </w:t>
      </w:r>
      <w:r w:rsidRPr="00C15B55">
        <w:t>mio. kr. i 202</w:t>
      </w:r>
      <w:r w:rsidR="000A60E2" w:rsidRPr="00C15B55">
        <w:t>9</w:t>
      </w:r>
      <w:r w:rsidRPr="00C15B55">
        <w:t>.</w:t>
      </w:r>
    </w:p>
    <w:p w14:paraId="1BDB1463" w14:textId="3977DD73" w:rsidR="00DA3A8E" w:rsidRPr="007D0926" w:rsidRDefault="00E34644" w:rsidP="007D0926">
      <w:pPr>
        <w:pStyle w:val="Overskrift2"/>
      </w:pPr>
      <w:bookmarkStart w:id="17" w:name="_Toc212451863"/>
      <w:r w:rsidRPr="007D0926">
        <w:t>T</w:t>
      </w:r>
      <w:r w:rsidR="00DA3A8E" w:rsidRPr="007D0926">
        <w:t>ilskuds- og udligningssystem</w:t>
      </w:r>
      <w:r w:rsidRPr="007D0926">
        <w:t>et</w:t>
      </w:r>
      <w:bookmarkEnd w:id="17"/>
    </w:p>
    <w:p w14:paraId="3037530C" w14:textId="67F23B57" w:rsidR="00DA3A8E" w:rsidRPr="00C15B55" w:rsidRDefault="00E34644" w:rsidP="007D0926">
      <w:r w:rsidRPr="00C15B55">
        <w:t xml:space="preserve">Udligningssystemet blev senest ændret med virkning fra 2021. Nedenstående </w:t>
      </w:r>
      <w:r w:rsidR="00DA3A8E" w:rsidRPr="00C15B55">
        <w:t>figur skitserer systemet og de forskellige ordninger, og derefter beskrives de væsentligste ordninger, der har størst betydning for Aarhus Kommunes økonomi.</w:t>
      </w:r>
    </w:p>
    <w:p w14:paraId="5579D1B1" w14:textId="08F5AD5D" w:rsidR="00DA3A8E" w:rsidRPr="007D0926" w:rsidRDefault="00DA3A8E" w:rsidP="007D0926">
      <w:pPr>
        <w:pStyle w:val="Billedoverskrift"/>
      </w:pPr>
      <w:r w:rsidRPr="007D0926">
        <w:t>Figur: Det samlede kommunale tilskuds- og udligningssystem</w:t>
      </w:r>
    </w:p>
    <w:p w14:paraId="1E18826C" w14:textId="714C533E" w:rsidR="005E115F" w:rsidRPr="00C15B55" w:rsidRDefault="00943E32" w:rsidP="0064489C">
      <w:pPr>
        <w:rPr>
          <w:color w:val="FF0000"/>
        </w:rPr>
      </w:pPr>
      <w:r w:rsidRPr="00C15B55">
        <w:rPr>
          <w:noProof/>
          <w:color w:val="FF0000"/>
        </w:rPr>
        <w:drawing>
          <wp:inline distT="0" distB="0" distL="0" distR="0" wp14:anchorId="182271CE" wp14:editId="60F32F11">
            <wp:extent cx="4843988" cy="21590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625" t="21297" r="6866" b="13326"/>
                    <a:stretch/>
                  </pic:blipFill>
                  <pic:spPr bwMode="auto">
                    <a:xfrm>
                      <a:off x="0" y="0"/>
                      <a:ext cx="4870325" cy="2170739"/>
                    </a:xfrm>
                    <a:prstGeom prst="rect">
                      <a:avLst/>
                    </a:prstGeom>
                    <a:ln>
                      <a:noFill/>
                    </a:ln>
                    <a:extLst>
                      <a:ext uri="{53640926-AAD7-44D8-BBD7-CCE9431645EC}">
                        <a14:shadowObscured xmlns:a14="http://schemas.microsoft.com/office/drawing/2010/main"/>
                      </a:ext>
                    </a:extLst>
                  </pic:spPr>
                </pic:pic>
              </a:graphicData>
            </a:graphic>
          </wp:inline>
        </w:drawing>
      </w:r>
    </w:p>
    <w:p w14:paraId="7FE6D479" w14:textId="36021F26" w:rsidR="00DA3A8E" w:rsidRPr="007D0926" w:rsidRDefault="00A56D79" w:rsidP="007D0926">
      <w:pPr>
        <w:pStyle w:val="Overskrift3"/>
      </w:pPr>
      <w:r w:rsidRPr="007D0926">
        <w:t>Udligning af udgiftsbehov</w:t>
      </w:r>
    </w:p>
    <w:p w14:paraId="5B31F90F" w14:textId="377E0669" w:rsidR="00EF5C13" w:rsidRPr="00C15B55" w:rsidRDefault="00EF5C13" w:rsidP="007D0926">
      <w:r w:rsidRPr="00C15B55">
        <w:t xml:space="preserve">En kommunes udgiftsbehov består af et aldersbestemt og et socioøkonomisk udgiftsbehov, </w:t>
      </w:r>
      <w:r w:rsidR="00EE13F9" w:rsidRPr="00C15B55">
        <w:t xml:space="preserve">der </w:t>
      </w:r>
      <w:r w:rsidRPr="00C15B55">
        <w:t>vægter med henholdsvis 67</w:t>
      </w:r>
      <w:r w:rsidR="00755FD0">
        <w:t xml:space="preserve"> </w:t>
      </w:r>
      <w:r w:rsidRPr="00C15B55">
        <w:t>% og 33</w:t>
      </w:r>
      <w:r w:rsidR="00755FD0">
        <w:t xml:space="preserve"> </w:t>
      </w:r>
      <w:r w:rsidRPr="00C15B55">
        <w:t xml:space="preserve">% i det samlede udgiftsbehov. Det aldersbestemte udgiftsbehov beregnes ud fra antallet af 0-6-årige, skolebørn, erhvervsaktive, ældre og så videre, mens det socioøkonomiske udgiftsbehov dannes ud fra en række parametre, der udtrykker kommunens grad af social tyngde. </w:t>
      </w:r>
    </w:p>
    <w:p w14:paraId="60D667AB" w14:textId="48218529" w:rsidR="00EF5C13" w:rsidRPr="00C15B55" w:rsidRDefault="00EF5C13" w:rsidP="007D0926">
      <w:r w:rsidRPr="00C15B55">
        <w:t>Hvis det samlede udgiftsbehov i kommunen er højere end kommunens befolkningsmæssige andel af det landsgennemsnitlige udgiftsbehov, får kommunen 93</w:t>
      </w:r>
      <w:r w:rsidR="00755FD0">
        <w:t xml:space="preserve"> </w:t>
      </w:r>
      <w:r w:rsidRPr="00C15B55">
        <w:t>% af udgiftsbehovet - og tilsvarende afleverer kommunen 93</w:t>
      </w:r>
      <w:r w:rsidR="00755FD0">
        <w:t xml:space="preserve"> </w:t>
      </w:r>
      <w:r w:rsidRPr="00C15B55">
        <w:t xml:space="preserve">% af udgiftsbehovet, hvis det er lavere end den befolkningsmæssige andel. </w:t>
      </w:r>
    </w:p>
    <w:p w14:paraId="23AD53C6" w14:textId="44CF2F32" w:rsidR="003F49BF" w:rsidRPr="00C15B55" w:rsidRDefault="00EF5C13" w:rsidP="007D0926">
      <w:r w:rsidRPr="00C15B55">
        <w:t xml:space="preserve">Aarhus Kommune </w:t>
      </w:r>
      <w:r w:rsidR="003F49BF" w:rsidRPr="00C15B55">
        <w:t>har</w:t>
      </w:r>
      <w:r w:rsidRPr="00C15B55">
        <w:t xml:space="preserve"> et aldersbestemt</w:t>
      </w:r>
      <w:r w:rsidR="003F49BF" w:rsidRPr="00C15B55">
        <w:t xml:space="preserve"> udgiftsbehov</w:t>
      </w:r>
      <w:r w:rsidRPr="00C15B55">
        <w:t xml:space="preserve">, der er væsentligt under landsgennemsnittet. Det afspejler en ung befolkning og fx mange studerende, der kun i mindre omfang modtager ydelser fra kommunen. </w:t>
      </w:r>
      <w:r w:rsidR="003F49BF" w:rsidRPr="00C15B55">
        <w:t xml:space="preserve">Også det socioøkonomiske udgiftsbehov er lavere end landsgennemsnittet. Det betyder, at befolkningen i Aarhus som udgangspunkt har en socioøkonomisk sammensætning, der er bedre end landsgennemsnittet. </w:t>
      </w:r>
    </w:p>
    <w:p w14:paraId="04879979" w14:textId="39D1E435" w:rsidR="00EF5C13" w:rsidRPr="00C15B55" w:rsidRDefault="003F49BF" w:rsidP="007D0926">
      <w:r w:rsidRPr="00C15B55">
        <w:lastRenderedPageBreak/>
        <w:t>Det samlede udgiftsbehov er der</w:t>
      </w:r>
      <w:r w:rsidR="00E34644" w:rsidRPr="00C15B55">
        <w:t>m</w:t>
      </w:r>
      <w:r w:rsidRPr="00C15B55">
        <w:t xml:space="preserve">ed lavt i Aarhus, som derfor er </w:t>
      </w:r>
      <w:r w:rsidR="00EF5C13" w:rsidRPr="00C15B55">
        <w:t xml:space="preserve">bidragsyder til denne udligningsordning </w:t>
      </w:r>
      <w:r w:rsidRPr="00C15B55">
        <w:t>-</w:t>
      </w:r>
      <w:r w:rsidR="00EF5C13" w:rsidRPr="00C15B55">
        <w:t xml:space="preserve"> med et stigende beløb i budgetperioden.</w:t>
      </w:r>
    </w:p>
    <w:p w14:paraId="3A37691F" w14:textId="21855148" w:rsidR="00A56D79" w:rsidRPr="007D0926" w:rsidRDefault="00A56D79" w:rsidP="007D0926">
      <w:pPr>
        <w:pStyle w:val="Overskrift3"/>
      </w:pPr>
      <w:r w:rsidRPr="007D0926">
        <w:t>Udligning af beskatningsgrundlag</w:t>
      </w:r>
    </w:p>
    <w:p w14:paraId="533744E5" w14:textId="4C4C7E96" w:rsidR="00235AF5" w:rsidRPr="00C15B55" w:rsidRDefault="00CF3DBF" w:rsidP="007D0926">
      <w:r w:rsidRPr="00C15B55">
        <w:t>Her</w:t>
      </w:r>
      <w:r w:rsidR="00A56D79" w:rsidRPr="00C15B55">
        <w:t xml:space="preserve"> udlignes 75</w:t>
      </w:r>
      <w:r w:rsidR="00755FD0">
        <w:t xml:space="preserve"> </w:t>
      </w:r>
      <w:r w:rsidR="00A56D79" w:rsidRPr="00C15B55">
        <w:t>% af en kommunes beregnede skatteindtægter. Hvis skatteindtægterne i kommunen er højere end kommunens befolkningsmæssige andel af skatteindtægterne på landsplan, skal kommunen aflevere 75</w:t>
      </w:r>
      <w:r w:rsidR="00755FD0">
        <w:t xml:space="preserve"> </w:t>
      </w:r>
      <w:r w:rsidR="00A56D79" w:rsidRPr="00C15B55">
        <w:t xml:space="preserve">% af skatteindtægterne - og tilsvarende, hvis skatteindtægterne er lavere end den befolkningsmæssige andel. Kommuner med lave eller meget høje skatteindtægter har en højere udligningsgrad. </w:t>
      </w:r>
    </w:p>
    <w:p w14:paraId="14380CD2" w14:textId="3D618627" w:rsidR="00235AF5" w:rsidRPr="00C15B55" w:rsidRDefault="00A56D79" w:rsidP="007D0926">
      <w:r w:rsidRPr="00C15B55">
        <w:t xml:space="preserve">Aarhus Kommunes gennemsnitlige beskatningsgrundlag pr. indbygger og dermed skatteindtægter er </w:t>
      </w:r>
      <w:r w:rsidR="004B2F27" w:rsidRPr="00C15B55">
        <w:t xml:space="preserve">i </w:t>
      </w:r>
      <w:r w:rsidR="007D65CC" w:rsidRPr="00C15B55">
        <w:t xml:space="preserve">både </w:t>
      </w:r>
      <w:r w:rsidR="004B2F27" w:rsidRPr="00C15B55">
        <w:t>202</w:t>
      </w:r>
      <w:r w:rsidR="000A60E2" w:rsidRPr="00C15B55">
        <w:t>6</w:t>
      </w:r>
      <w:r w:rsidR="007D65CC" w:rsidRPr="00C15B55">
        <w:t xml:space="preserve"> og overslagsårene</w:t>
      </w:r>
      <w:r w:rsidR="008A59A6" w:rsidRPr="00C15B55">
        <w:t xml:space="preserve"> beregnet til at være l</w:t>
      </w:r>
      <w:r w:rsidR="007D65CC" w:rsidRPr="00C15B55">
        <w:t>avere</w:t>
      </w:r>
      <w:r w:rsidR="008A59A6" w:rsidRPr="00C15B55">
        <w:t xml:space="preserve"> </w:t>
      </w:r>
      <w:r w:rsidRPr="00C15B55">
        <w:t xml:space="preserve">end </w:t>
      </w:r>
      <w:r w:rsidR="00E34644" w:rsidRPr="00C15B55">
        <w:t xml:space="preserve">det landsgennemsnitlige </w:t>
      </w:r>
      <w:r w:rsidR="00D83FC5" w:rsidRPr="00C15B55">
        <w:t>beskatningsniveau</w:t>
      </w:r>
      <w:r w:rsidR="00E34644" w:rsidRPr="00C15B55">
        <w:t xml:space="preserve"> og </w:t>
      </w:r>
      <w:r w:rsidR="003F7EDC" w:rsidRPr="00C15B55">
        <w:t xml:space="preserve">herved modtager Aarhus bidrag fra </w:t>
      </w:r>
      <w:r w:rsidR="00E34644" w:rsidRPr="00C15B55">
        <w:t>denne udligning</w:t>
      </w:r>
      <w:r w:rsidR="008A59A6" w:rsidRPr="00C15B55">
        <w:t>sordning</w:t>
      </w:r>
      <w:r w:rsidR="00E34644" w:rsidRPr="00C15B55">
        <w:t xml:space="preserve">. </w:t>
      </w:r>
      <w:r w:rsidR="00A40A30" w:rsidRPr="00C15B55">
        <w:t>Beløbene fra denne udligningsordning er væsentligt højere end tidligere og afspejler, at Aarhus Kommunes beskatningsgrundlag pr. indbygger vokser mindre hurtigt end på landsplan.</w:t>
      </w:r>
    </w:p>
    <w:p w14:paraId="023E37CD" w14:textId="106BD787" w:rsidR="00DA3A8E" w:rsidRPr="007D0926" w:rsidRDefault="00A56D79" w:rsidP="007D0926">
      <w:pPr>
        <w:pStyle w:val="Overskrift3"/>
      </w:pPr>
      <w:r w:rsidRPr="007D0926">
        <w:t>Bloktilskud</w:t>
      </w:r>
    </w:p>
    <w:p w14:paraId="30730E48" w14:textId="0E8F687B" w:rsidR="003F49BF" w:rsidRPr="00C15B55" w:rsidRDefault="003F49BF" w:rsidP="00252B59">
      <w:r w:rsidRPr="00C15B55">
        <w:t xml:space="preserve">Statens bloktilskudspulje, der indeholder tidligere års bloktilskud samt kompensation for lov- og cirkulæreprogram, budgetgaranti m.v. </w:t>
      </w:r>
      <w:r w:rsidR="001E20C1" w:rsidRPr="00C15B55">
        <w:t xml:space="preserve">og reguleringer for bl.a. kommunernes refusionsindtægter fra særligt dyre enkeltsager </w:t>
      </w:r>
      <w:r w:rsidRPr="00C15B55">
        <w:t>fordeles direkte ud til kommunerne efter befolkningsandel. Inden bloktilskuddet fordeles til kommunerne trækkes der dog finansiering til særtilskudspuljerne ’Tilskud til kommuner med vanskelige økonomiske vilkår’ (0,</w:t>
      </w:r>
      <w:r w:rsidR="00E05B86" w:rsidRPr="00C15B55">
        <w:t>6</w:t>
      </w:r>
      <w:r w:rsidRPr="00C15B55">
        <w:t xml:space="preserve"> mia. kr.) og ’Tilskud til udsatte ø- og yderkommuner’ (0,5 mia. kr.) ud. </w:t>
      </w:r>
    </w:p>
    <w:p w14:paraId="76417F15" w14:textId="460AE56D" w:rsidR="003F49BF" w:rsidRPr="00C15B55" w:rsidRDefault="003F49BF" w:rsidP="00252B59">
      <w:r w:rsidRPr="00C15B55">
        <w:t xml:space="preserve">En andel af statstilskuddet er betinget af, at kommunerne samlet set har overholdt de aftalte udgiftsrammer. 3 mia. kr. af statstilskuddet er således afhængigt af, at kommunernes samlede ramme for serviceudgifter (servicerammen) er overholdt. Desuden er 1 mia. kr. betinget af aftaleoverholdelse af en ramme for anlægsudgifterne. </w:t>
      </w:r>
    </w:p>
    <w:p w14:paraId="48F79DF9" w14:textId="4A6353BA" w:rsidR="003F49BF" w:rsidRPr="00C15B55" w:rsidRDefault="00E34644" w:rsidP="00252B59">
      <w:r w:rsidRPr="00C15B55">
        <w:t>B</w:t>
      </w:r>
      <w:r w:rsidR="003F49BF" w:rsidRPr="00C15B55">
        <w:t>loktilskuddet fordeles til kommunerne efter befolkningsandel</w:t>
      </w:r>
      <w:r w:rsidRPr="00C15B55">
        <w:t xml:space="preserve">. </w:t>
      </w:r>
      <w:r w:rsidR="003F49BF" w:rsidRPr="00C15B55">
        <w:t xml:space="preserve">Aarhus Kommunes befolkningsandel </w:t>
      </w:r>
      <w:r w:rsidR="003F7EDC" w:rsidRPr="00C15B55">
        <w:t xml:space="preserve">forventes </w:t>
      </w:r>
      <w:r w:rsidR="003F49BF" w:rsidRPr="00C15B55">
        <w:t>i 202</w:t>
      </w:r>
      <w:r w:rsidR="000A60E2" w:rsidRPr="00C15B55">
        <w:t>6</w:t>
      </w:r>
      <w:r w:rsidR="003F7EDC" w:rsidRPr="00C15B55">
        <w:t xml:space="preserve"> at udgøre </w:t>
      </w:r>
      <w:r w:rsidR="003F49BF" w:rsidRPr="00C15B55">
        <w:t>6,</w:t>
      </w:r>
      <w:r w:rsidR="003F7EDC" w:rsidRPr="00C15B55">
        <w:t>2</w:t>
      </w:r>
      <w:r w:rsidR="00755FD0">
        <w:t xml:space="preserve"> </w:t>
      </w:r>
      <w:r w:rsidR="003F49BF" w:rsidRPr="00C15B55">
        <w:t>%.</w:t>
      </w:r>
    </w:p>
    <w:p w14:paraId="292C7926" w14:textId="466095EF" w:rsidR="00DA3A8E" w:rsidRPr="00C15B55" w:rsidRDefault="00DA3A8E" w:rsidP="00252B59">
      <w:r w:rsidRPr="00C15B55">
        <w:t xml:space="preserve">Jf. </w:t>
      </w:r>
      <w:r w:rsidR="00E34644" w:rsidRPr="00C15B55">
        <w:t>nedenfor</w:t>
      </w:r>
      <w:r w:rsidRPr="00C15B55">
        <w:t xml:space="preserve"> foretages der i Aarhus Kommune ofte en række korrektioner til </w:t>
      </w:r>
      <w:r w:rsidR="00CF3DBF" w:rsidRPr="00C15B55">
        <w:t>blok</w:t>
      </w:r>
      <w:r w:rsidRPr="00C15B55">
        <w:t>tilskuddet som følge af den valgte budgetteringsmetode på bl.a. overførselsområdet.</w:t>
      </w:r>
    </w:p>
    <w:p w14:paraId="6592E908" w14:textId="3D56D683" w:rsidR="00DA3A8E" w:rsidRPr="00252B59" w:rsidRDefault="00F0606E" w:rsidP="00252B59">
      <w:pPr>
        <w:pStyle w:val="Overskrift3"/>
      </w:pPr>
      <w:r w:rsidRPr="00252B59">
        <w:t>Udligning af s</w:t>
      </w:r>
      <w:r w:rsidR="00DA3A8E" w:rsidRPr="00252B59">
        <w:t>elskabsskat</w:t>
      </w:r>
      <w:r w:rsidR="003F49BF" w:rsidRPr="00252B59">
        <w:t xml:space="preserve"> og dækningsafgift</w:t>
      </w:r>
    </w:p>
    <w:p w14:paraId="12AEBAF5" w14:textId="2B828CE1" w:rsidR="00DA3A8E" w:rsidRPr="00C15B55" w:rsidRDefault="00DA3A8E" w:rsidP="00252B59">
      <w:r w:rsidRPr="00C15B55">
        <w:t>Kommunerne modtager et provenu fra selskabers skattebetalinger</w:t>
      </w:r>
      <w:r w:rsidR="00E34644" w:rsidRPr="00C15B55">
        <w:t xml:space="preserve">. Mellem kommunerne udlignes der dog </w:t>
      </w:r>
      <w:r w:rsidRPr="00C15B55">
        <w:t>50</w:t>
      </w:r>
      <w:r w:rsidR="00755FD0">
        <w:t xml:space="preserve"> </w:t>
      </w:r>
      <w:r w:rsidRPr="00C15B55">
        <w:t>% af forskellen mellem en kommunes provenu fra selskabsskat pr. indbygger og landsgennemsnittet. Hvis en kommune har et lavere provenu fra selskabsskat pr. indbygger end landsgennemsnittet, vil kommunen modtage et udligningstilskud fra ordningen svarende til 50</w:t>
      </w:r>
      <w:r w:rsidR="00755FD0">
        <w:t xml:space="preserve"> </w:t>
      </w:r>
      <w:r w:rsidRPr="00C15B55">
        <w:t>% af forskellen - og omvendt</w:t>
      </w:r>
      <w:r w:rsidR="004B2F27" w:rsidRPr="00C15B55">
        <w:t xml:space="preserve">. </w:t>
      </w:r>
    </w:p>
    <w:p w14:paraId="77B6521E" w14:textId="621A11A6" w:rsidR="004B2F27" w:rsidRPr="00C15B55" w:rsidRDefault="00BE6AA2" w:rsidP="00252B59">
      <w:r w:rsidRPr="00C15B55">
        <w:t xml:space="preserve">Med et mere normalt niveau for selskabsskatteindtægter i Aarhus i 2026 end i 2025 er </w:t>
      </w:r>
      <w:r w:rsidR="004B2F27" w:rsidRPr="00C15B55">
        <w:t>Aarhus Kommunes</w:t>
      </w:r>
      <w:r w:rsidRPr="00C15B55">
        <w:t xml:space="preserve"> bidrag til udligningsordningen af selskabsskat relativt beskedent. </w:t>
      </w:r>
      <w:r w:rsidR="003F7EDC" w:rsidRPr="00C15B55">
        <w:t xml:space="preserve">I overslagsårene forventes Aarhus </w:t>
      </w:r>
      <w:r w:rsidRPr="00C15B55">
        <w:t xml:space="preserve">at </w:t>
      </w:r>
      <w:r w:rsidR="003F7EDC" w:rsidRPr="00C15B55">
        <w:t>modtage et mindre beløb fra udligningsordning</w:t>
      </w:r>
      <w:r w:rsidRPr="00C15B55">
        <w:t>en</w:t>
      </w:r>
      <w:r w:rsidR="003F7EDC" w:rsidRPr="00C15B55">
        <w:t>.</w:t>
      </w:r>
    </w:p>
    <w:p w14:paraId="7F545237" w14:textId="583B9D87" w:rsidR="004B2F27" w:rsidRPr="00C15B55" w:rsidRDefault="00E34644" w:rsidP="00252B59">
      <w:r w:rsidRPr="00C15B55">
        <w:t>Der er</w:t>
      </w:r>
      <w:r w:rsidR="004B2F27" w:rsidRPr="00C15B55">
        <w:t xml:space="preserve"> en tilsvarende udligning af kommunernes indtægter fra dækningsafgift på offentlige ejendomme. Udligningen er i denne ordning </w:t>
      </w:r>
      <w:r w:rsidRPr="00C15B55">
        <w:t xml:space="preserve">på </w:t>
      </w:r>
      <w:r w:rsidR="004B2F27" w:rsidRPr="00C15B55">
        <w:t>10%.</w:t>
      </w:r>
    </w:p>
    <w:p w14:paraId="63A1EF62" w14:textId="09724F67" w:rsidR="00AE724E" w:rsidRPr="00C15B55" w:rsidRDefault="00AE724E" w:rsidP="00252B59">
      <w:r w:rsidRPr="00C15B55">
        <w:t>Aarhus Kommunes indtægter fra dækningsafgift på offentlige ejendomme pr. indbygger er i 202</w:t>
      </w:r>
      <w:r w:rsidR="00AC6A6D" w:rsidRPr="00C15B55">
        <w:t>6</w:t>
      </w:r>
      <w:r w:rsidRPr="00C15B55">
        <w:t xml:space="preserve"> højere end landsgennemsnittet. Derfor bidrager Aarhus til denne ordning</w:t>
      </w:r>
      <w:r w:rsidR="00265CCB" w:rsidRPr="00C15B55">
        <w:t>, og det samme gør sig gældende for overslagsårene</w:t>
      </w:r>
      <w:r w:rsidRPr="00C15B55">
        <w:t>.</w:t>
      </w:r>
    </w:p>
    <w:p w14:paraId="54470C37" w14:textId="4D373B48" w:rsidR="00DA3A8E" w:rsidRPr="00252B59" w:rsidRDefault="003F49BF" w:rsidP="00252B59">
      <w:pPr>
        <w:pStyle w:val="Overskrift3"/>
      </w:pPr>
      <w:r w:rsidRPr="00252B59">
        <w:lastRenderedPageBreak/>
        <w:t>Udlændingeudligning</w:t>
      </w:r>
    </w:p>
    <w:p w14:paraId="02CB0C96" w14:textId="737FA41A" w:rsidR="00DA3A8E" w:rsidRPr="00C15B55" w:rsidRDefault="00DA3A8E" w:rsidP="00252B59">
      <w:r w:rsidRPr="00C15B55">
        <w:t xml:space="preserve">Der er en særlig udligningsordning vedrørende generelle merudgifter til </w:t>
      </w:r>
      <w:r w:rsidR="00AE724E" w:rsidRPr="00C15B55">
        <w:t xml:space="preserve">udlændinge fra ikke-vestlige lande </w:t>
      </w:r>
      <w:r w:rsidRPr="00C15B55">
        <w:t xml:space="preserve">såsom udgifter til integration og sprogundervisning, folkeskole samt sociale og sundhedsmæssige udgifter. Kommuner med få flygtninge og indvandrere i deres befolkning yder et samlet bidrag til ordningen, mens kommuner med mange flygtninge og indvandrere får et samlet tilskud fra ordningen. </w:t>
      </w:r>
      <w:r w:rsidR="00E34644" w:rsidRPr="00C15B55">
        <w:t xml:space="preserve">Da Aarhus Kommune har relativt mange flygtninge og indvandrere bosiddende i kommunen, er Aarhus bidragsmodtager af denne udligningsordning. </w:t>
      </w:r>
    </w:p>
    <w:p w14:paraId="42AE979B" w14:textId="031EDF21" w:rsidR="00DA3A8E" w:rsidRPr="00252B59" w:rsidRDefault="00DA3A8E" w:rsidP="00252B59">
      <w:pPr>
        <w:pStyle w:val="Overskrift2"/>
      </w:pPr>
      <w:bookmarkStart w:id="18" w:name="_Toc212451864"/>
      <w:r w:rsidRPr="00252B59">
        <w:t>Budgetteringsmetode i Aarhus Kommune</w:t>
      </w:r>
      <w:bookmarkEnd w:id="18"/>
    </w:p>
    <w:p w14:paraId="1635E03B" w14:textId="64B1E955" w:rsidR="00E745F7" w:rsidRPr="00C15B55" w:rsidRDefault="00DA3A8E" w:rsidP="00252B59">
      <w:r w:rsidRPr="00C15B55">
        <w:t xml:space="preserve">Indtægterne fra generelle tilskud og udligning </w:t>
      </w:r>
      <w:r w:rsidR="00CF3DBF" w:rsidRPr="00C15B55">
        <w:t>er budgetteret</w:t>
      </w:r>
      <w:r w:rsidRPr="00C15B55">
        <w:t xml:space="preserve"> med udgangspunkt i KL´s skatte- og tilskudsmodel</w:t>
      </w:r>
      <w:r w:rsidR="00081BA3" w:rsidRPr="00C15B55">
        <w:t>, der i 202</w:t>
      </w:r>
      <w:r w:rsidR="001E20C1" w:rsidRPr="00C15B55">
        <w:t>6</w:t>
      </w:r>
      <w:r w:rsidR="00081BA3" w:rsidRPr="00C15B55">
        <w:t xml:space="preserve"> er baseret på </w:t>
      </w:r>
      <w:r w:rsidR="00F759F0" w:rsidRPr="00C15B55">
        <w:t xml:space="preserve">Indenrigs- og </w:t>
      </w:r>
      <w:r w:rsidR="00CC7242" w:rsidRPr="00C15B55">
        <w:t>Sundhedsm</w:t>
      </w:r>
      <w:r w:rsidR="00081BA3" w:rsidRPr="00C15B55">
        <w:t>inisteriets tilskudsudmelding for 202</w:t>
      </w:r>
      <w:r w:rsidR="001E20C1" w:rsidRPr="00C15B55">
        <w:t>6</w:t>
      </w:r>
      <w:r w:rsidR="00252B59">
        <w:t>,</w:t>
      </w:r>
      <w:r w:rsidR="000A3761" w:rsidRPr="00C15B55">
        <w:t xml:space="preserve"> samt valg af s</w:t>
      </w:r>
      <w:r w:rsidR="00106610" w:rsidRPr="00C15B55">
        <w:t>elvbudgettering</w:t>
      </w:r>
      <w:r w:rsidR="00E745F7" w:rsidRPr="00C15B55">
        <w:t xml:space="preserve">. I </w:t>
      </w:r>
      <w:r w:rsidR="00081BA3" w:rsidRPr="00C15B55">
        <w:t xml:space="preserve">overslagsårene indgår </w:t>
      </w:r>
      <w:r w:rsidR="00E745F7" w:rsidRPr="00C15B55">
        <w:t xml:space="preserve">KL´s </w:t>
      </w:r>
      <w:r w:rsidR="00081BA3" w:rsidRPr="00C15B55">
        <w:t xml:space="preserve">skøn for </w:t>
      </w:r>
      <w:r w:rsidR="00E745F7" w:rsidRPr="00C15B55">
        <w:t xml:space="preserve">udviklingen i priser, løn, skatter, overførselsudgifter m.v. </w:t>
      </w:r>
    </w:p>
    <w:p w14:paraId="3AD257B2" w14:textId="029FA00C" w:rsidR="00DA3A8E" w:rsidRPr="00C15B55" w:rsidRDefault="00DA3A8E" w:rsidP="00252B59">
      <w:r w:rsidRPr="00C15B55">
        <w:t>Som input til modellen anvendes Aarhus Kommunes egne forventninger til de kommunale skatteindtægter samt befolkningsprognose, som dermed indgår i beregningen af de konkrete tilskuds- og udligningsbeløb.</w:t>
      </w:r>
    </w:p>
    <w:p w14:paraId="40CB9605" w14:textId="5BC431D3" w:rsidR="00235AF5" w:rsidRPr="00C15B55" w:rsidRDefault="00235AF5" w:rsidP="00252B59">
      <w:r w:rsidRPr="00C15B55">
        <w:t>Jf. nedenfor er der foretaget nogle korrektioner til forudsætningerne i KL’s skatte- og tilskudsmodel</w:t>
      </w:r>
      <w:r w:rsidR="00E8228F" w:rsidRPr="00C15B55">
        <w:t xml:space="preserve">, men hvis det ikke er nævnt nedenfor, følges KL’s forudsætninger. Det gælder fx </w:t>
      </w:r>
      <w:r w:rsidR="001E20C1" w:rsidRPr="00C15B55">
        <w:t xml:space="preserve">forudsætningerne på </w:t>
      </w:r>
      <w:r w:rsidR="00E8228F" w:rsidRPr="00C15B55">
        <w:t>anlægsområdet</w:t>
      </w:r>
      <w:r w:rsidR="001E20C1" w:rsidRPr="00C15B55">
        <w:t xml:space="preserve"> og for modregningen vedrørende særligt dyre enkeltsager</w:t>
      </w:r>
      <w:r w:rsidR="00E8228F" w:rsidRPr="00C15B55">
        <w:t>.</w:t>
      </w:r>
    </w:p>
    <w:p w14:paraId="61F9407A" w14:textId="77777777" w:rsidR="00DA3A8E" w:rsidRPr="00252B59" w:rsidRDefault="00DA3A8E" w:rsidP="00252B59">
      <w:pPr>
        <w:pStyle w:val="Overskrift3"/>
      </w:pPr>
      <w:r w:rsidRPr="00252B59">
        <w:t>Korrektioner til skatte- og tilskudsmodellens forudsætninger</w:t>
      </w:r>
    </w:p>
    <w:p w14:paraId="4613D6EF" w14:textId="46EA999D" w:rsidR="00DA3A8E" w:rsidRPr="00C15B55" w:rsidRDefault="00DA3A8E" w:rsidP="00252B59">
      <w:r w:rsidRPr="00C15B55">
        <w:t xml:space="preserve">Til KL´s skatte- og tilskudsmodel er der foretaget </w:t>
      </w:r>
      <w:r w:rsidR="000A2475" w:rsidRPr="00C15B55">
        <w:t>nogle</w:t>
      </w:r>
      <w:r w:rsidRPr="00C15B55">
        <w:t xml:space="preserve"> korrektioner, som bevirker, at der i forhold til modellen budgetteres med f</w:t>
      </w:r>
      <w:r w:rsidR="003A1A6C" w:rsidRPr="00C15B55">
        <w:t>ærre</w:t>
      </w:r>
      <w:r w:rsidRPr="00C15B55">
        <w:t xml:space="preserve"> indtægter fra </w:t>
      </w:r>
      <w:r w:rsidR="00106610" w:rsidRPr="00C15B55">
        <w:t>blok</w:t>
      </w:r>
      <w:r w:rsidRPr="00C15B55">
        <w:t>tilskuddet</w:t>
      </w:r>
      <w:r w:rsidR="003A1A6C" w:rsidRPr="00C15B55">
        <w:t xml:space="preserve"> end det, der fremgår af skatte- og tilskudsmodellen</w:t>
      </w:r>
      <w:r w:rsidRPr="00C15B55">
        <w:t xml:space="preserve">. </w:t>
      </w:r>
    </w:p>
    <w:p w14:paraId="541CAFB7" w14:textId="625BAD2B" w:rsidR="004D17E6" w:rsidRPr="00252B59" w:rsidRDefault="004D17E6" w:rsidP="00252B59">
      <w:pPr>
        <w:rPr>
          <w:i/>
          <w:iCs/>
        </w:rPr>
      </w:pPr>
      <w:r w:rsidRPr="00252B59">
        <w:rPr>
          <w:i/>
          <w:iCs/>
        </w:rPr>
        <w:t>Befolkningsprognose og ukrainere</w:t>
      </w:r>
    </w:p>
    <w:p w14:paraId="2B32C51E" w14:textId="0B3AF635" w:rsidR="003949F9" w:rsidRPr="00C15B55" w:rsidRDefault="004D17E6" w:rsidP="00252B59">
      <w:r w:rsidRPr="00C15B55">
        <w:t>I befolkningsprognosen i Aarhus er det forudsat, at 20</w:t>
      </w:r>
      <w:r w:rsidR="00755FD0">
        <w:t xml:space="preserve"> </w:t>
      </w:r>
      <w:r w:rsidRPr="00C15B55">
        <w:t>% af de ukrainske flygtninge rejser ud af Aarhus i 202</w:t>
      </w:r>
      <w:r w:rsidR="00BE6AA2" w:rsidRPr="00C15B55">
        <w:t>6</w:t>
      </w:r>
      <w:r w:rsidRPr="00C15B55">
        <w:t>, 20</w:t>
      </w:r>
      <w:r w:rsidR="00755FD0">
        <w:t xml:space="preserve"> </w:t>
      </w:r>
      <w:r w:rsidRPr="00C15B55">
        <w:t>% i 202</w:t>
      </w:r>
      <w:r w:rsidR="00BE6AA2" w:rsidRPr="00C15B55">
        <w:t>7</w:t>
      </w:r>
      <w:r w:rsidRPr="00C15B55">
        <w:t xml:space="preserve"> og 20</w:t>
      </w:r>
      <w:r w:rsidR="00755FD0">
        <w:t xml:space="preserve"> </w:t>
      </w:r>
      <w:r w:rsidRPr="00C15B55">
        <w:t>% i 202</w:t>
      </w:r>
      <w:r w:rsidR="00BE6AA2" w:rsidRPr="00C15B55">
        <w:t>8</w:t>
      </w:r>
      <w:r w:rsidRPr="00C15B55">
        <w:t>, mens de resterende 40</w:t>
      </w:r>
      <w:r w:rsidR="00755FD0">
        <w:t xml:space="preserve"> </w:t>
      </w:r>
      <w:r w:rsidRPr="00C15B55">
        <w:t>% bliver boende. Danmarks Statistiks befolkningsprognose, som skatte- og tilskudsmodellen bygger på, forudsætter, at alle ukrainere i Danmark er udrejst af Danmark senest ved Særlovens ophør den 17. marts 202</w:t>
      </w:r>
      <w:r w:rsidR="00BE6AA2" w:rsidRPr="00C15B55">
        <w:t>6</w:t>
      </w:r>
      <w:r w:rsidRPr="00C15B55">
        <w:t xml:space="preserve">. </w:t>
      </w:r>
    </w:p>
    <w:p w14:paraId="652BD858" w14:textId="4C02E7EF" w:rsidR="004D17E6" w:rsidRPr="00C15B55" w:rsidRDefault="004D17E6" w:rsidP="00252B59">
      <w:r w:rsidRPr="00C15B55">
        <w:t>For at opnå overensstemmelse mellem forudsætningerne i Aarhus og på landsplan er befolkningsprognosen for landsplan</w:t>
      </w:r>
      <w:r w:rsidR="003949F9" w:rsidRPr="00C15B55">
        <w:t xml:space="preserve"> derfor</w:t>
      </w:r>
      <w:r w:rsidRPr="00C15B55">
        <w:t xml:space="preserve"> justeret</w:t>
      </w:r>
      <w:r w:rsidR="003949F9" w:rsidRPr="00C15B55">
        <w:t xml:space="preserve">, så forudsætningerne om ukrainerne er ens. </w:t>
      </w:r>
      <w:r w:rsidRPr="00C15B55">
        <w:t xml:space="preserve">Befolkningsprognosen er som følge heraf øget med </w:t>
      </w:r>
      <w:r w:rsidR="00BE6AA2" w:rsidRPr="00C15B55">
        <w:t>ca. 28.500</w:t>
      </w:r>
      <w:r w:rsidRPr="00C15B55">
        <w:t xml:space="preserve"> borgere i 202</w:t>
      </w:r>
      <w:r w:rsidR="00D93157" w:rsidRPr="00C15B55">
        <w:t>6</w:t>
      </w:r>
      <w:r w:rsidRPr="00C15B55">
        <w:t xml:space="preserve">, </w:t>
      </w:r>
      <w:r w:rsidR="00BE6AA2" w:rsidRPr="00C15B55">
        <w:t>knap 23.000</w:t>
      </w:r>
      <w:r w:rsidRPr="00C15B55">
        <w:t xml:space="preserve"> borgere i 202</w:t>
      </w:r>
      <w:r w:rsidR="00D93157" w:rsidRPr="00C15B55">
        <w:t>7</w:t>
      </w:r>
      <w:r w:rsidRPr="00C15B55">
        <w:t xml:space="preserve"> og </w:t>
      </w:r>
      <w:r w:rsidR="00BE6AA2" w:rsidRPr="00C15B55">
        <w:t>godt 18.000</w:t>
      </w:r>
      <w:r w:rsidRPr="00C15B55">
        <w:t xml:space="preserve"> borgere i 202</w:t>
      </w:r>
      <w:r w:rsidR="00D93157" w:rsidRPr="00C15B55">
        <w:t>8</w:t>
      </w:r>
      <w:r w:rsidRPr="00C15B55">
        <w:t xml:space="preserve">. </w:t>
      </w:r>
    </w:p>
    <w:p w14:paraId="474BCED4" w14:textId="5514BBC0" w:rsidR="004D17E6" w:rsidRPr="00C15B55" w:rsidRDefault="004D17E6" w:rsidP="00252B59">
      <w:r w:rsidRPr="00C15B55">
        <w:t>Flere borgere medfører stigende udgifter. Derfor er skatte- og tilskudsmodellen</w:t>
      </w:r>
      <w:r w:rsidR="003949F9" w:rsidRPr="00C15B55">
        <w:t>s bloktilskudspulje</w:t>
      </w:r>
      <w:r w:rsidRPr="00C15B55">
        <w:t xml:space="preserve"> samtidig justeret i årene 202</w:t>
      </w:r>
      <w:r w:rsidR="00BE6AA2" w:rsidRPr="00C15B55">
        <w:t>7</w:t>
      </w:r>
      <w:r w:rsidRPr="00C15B55">
        <w:t>-202</w:t>
      </w:r>
      <w:r w:rsidR="00BE6AA2" w:rsidRPr="00C15B55">
        <w:t>9</w:t>
      </w:r>
      <w:r w:rsidRPr="00C15B55">
        <w:t xml:space="preserve">, så der også er finansiering til de ekstra borgere. Bloktilskudspuljen hæves med et beløb pr. ekstra borger svarende til gennemsnitsbeløbet pr. borger i den forudsatte bloktilskudspulje i KL’s </w:t>
      </w:r>
      <w:r w:rsidR="003949F9" w:rsidRPr="00C15B55">
        <w:t xml:space="preserve">skatte- og </w:t>
      </w:r>
      <w:r w:rsidRPr="00C15B55">
        <w:t xml:space="preserve">tilskudsmodel. Det giver i alt en øget bloktilskudspulje på </w:t>
      </w:r>
      <w:r w:rsidR="003949F9" w:rsidRPr="00C15B55">
        <w:t>landsplan på</w:t>
      </w:r>
      <w:r w:rsidR="00D93157" w:rsidRPr="00C15B55">
        <w:t xml:space="preserve"> </w:t>
      </w:r>
      <w:r w:rsidR="00BE6AA2" w:rsidRPr="00C15B55">
        <w:t>396</w:t>
      </w:r>
      <w:r w:rsidRPr="00C15B55">
        <w:t xml:space="preserve"> mio. kr. i 202</w:t>
      </w:r>
      <w:r w:rsidR="00BE6AA2" w:rsidRPr="00C15B55">
        <w:t>7</w:t>
      </w:r>
      <w:r w:rsidRPr="00C15B55">
        <w:t xml:space="preserve">, </w:t>
      </w:r>
      <w:r w:rsidR="00BE6AA2" w:rsidRPr="00C15B55">
        <w:t>317</w:t>
      </w:r>
      <w:r w:rsidRPr="00C15B55">
        <w:t xml:space="preserve"> mio. kr. i 202</w:t>
      </w:r>
      <w:r w:rsidR="00BE6AA2" w:rsidRPr="00C15B55">
        <w:t>8</w:t>
      </w:r>
      <w:r w:rsidRPr="00C15B55">
        <w:t xml:space="preserve"> og </w:t>
      </w:r>
      <w:r w:rsidR="00D93157" w:rsidRPr="00C15B55">
        <w:t>2</w:t>
      </w:r>
      <w:r w:rsidR="00BE6AA2" w:rsidRPr="00C15B55">
        <w:t>53</w:t>
      </w:r>
      <w:r w:rsidRPr="00C15B55">
        <w:t xml:space="preserve"> mio. kr. i 202</w:t>
      </w:r>
      <w:r w:rsidR="00BE6AA2" w:rsidRPr="00C15B55">
        <w:t>9</w:t>
      </w:r>
      <w:r w:rsidRPr="00C15B55">
        <w:t xml:space="preserve">. </w:t>
      </w:r>
    </w:p>
    <w:p w14:paraId="02297076" w14:textId="77777777" w:rsidR="00DA3A8E" w:rsidRPr="004E2DE6" w:rsidRDefault="00DA3A8E" w:rsidP="004E2DE6">
      <w:pPr>
        <w:rPr>
          <w:i/>
          <w:iCs/>
        </w:rPr>
      </w:pPr>
      <w:r w:rsidRPr="004E2DE6">
        <w:rPr>
          <w:i/>
          <w:iCs/>
        </w:rPr>
        <w:t>Korrektion af overførsler - inkl. investeringsmodeller</w:t>
      </w:r>
    </w:p>
    <w:p w14:paraId="500E40FB" w14:textId="70DDC93D" w:rsidR="00DA3A8E" w:rsidRPr="00C15B55" w:rsidRDefault="00DA3A8E" w:rsidP="004E2DE6">
      <w:r w:rsidRPr="00C15B55">
        <w:t>På baggrund af magistratsafdelingernes udgiftsbudgetter laves en korrektion for udviklingen i overførselsudgifterne fra R20</w:t>
      </w:r>
      <w:r w:rsidR="00F759F0" w:rsidRPr="00C15B55">
        <w:t>2</w:t>
      </w:r>
      <w:r w:rsidR="00BE6AA2" w:rsidRPr="00C15B55">
        <w:t>4</w:t>
      </w:r>
      <w:r w:rsidRPr="00C15B55">
        <w:t xml:space="preserve"> til BO202</w:t>
      </w:r>
      <w:r w:rsidR="00BE6AA2" w:rsidRPr="00C15B55">
        <w:t>9</w:t>
      </w:r>
      <w:r w:rsidRPr="00C15B55">
        <w:t xml:space="preserve">. </w:t>
      </w:r>
    </w:p>
    <w:p w14:paraId="1C48C226" w14:textId="53EDE2E7" w:rsidR="00DA3A8E" w:rsidRPr="00C15B55" w:rsidRDefault="00DA3A8E" w:rsidP="004E2DE6">
      <w:r w:rsidRPr="00C15B55">
        <w:t>Korrektionen er for det første et udtryk for, at magistratsafdelingerne har skønnet udviklingen i overførslerne fra 20</w:t>
      </w:r>
      <w:r w:rsidR="00A01A1D" w:rsidRPr="00C15B55">
        <w:t>2</w:t>
      </w:r>
      <w:r w:rsidR="00F14AC0" w:rsidRPr="00C15B55">
        <w:t>4</w:t>
      </w:r>
      <w:r w:rsidRPr="00C15B55">
        <w:t xml:space="preserve"> til 202</w:t>
      </w:r>
      <w:r w:rsidR="00F14AC0" w:rsidRPr="00C15B55">
        <w:t>9</w:t>
      </w:r>
      <w:r w:rsidRPr="00C15B55">
        <w:t xml:space="preserve"> anderledes end det</w:t>
      </w:r>
      <w:r w:rsidR="003F652C" w:rsidRPr="00C15B55">
        <w:t xml:space="preserve"> skøn</w:t>
      </w:r>
      <w:r w:rsidRPr="00C15B55">
        <w:t xml:space="preserve">, </w:t>
      </w:r>
      <w:r w:rsidR="003F652C" w:rsidRPr="00C15B55">
        <w:t xml:space="preserve">KL har indarbejdet i skatte- og tilskudsmodellen. Korrektionen </w:t>
      </w:r>
      <w:r w:rsidRPr="00C15B55">
        <w:lastRenderedPageBreak/>
        <w:t xml:space="preserve">afspejler, at der budgetteres med en </w:t>
      </w:r>
      <w:r w:rsidR="00A01A1D" w:rsidRPr="00C15B55">
        <w:t>lavere</w:t>
      </w:r>
      <w:r w:rsidRPr="00C15B55">
        <w:t xml:space="preserve"> vækst i udgifterne til overførsler i Aarhus, end hvad der følger af KL´s forventninger. </w:t>
      </w:r>
    </w:p>
    <w:p w14:paraId="01703501" w14:textId="4F5F01FF" w:rsidR="00A01A1D" w:rsidRPr="00C15B55" w:rsidRDefault="00DA3A8E" w:rsidP="004E2DE6">
      <w:r w:rsidRPr="00C15B55">
        <w:t>For det andet er der indarbejdet en korrektion som følge af investeringsmodeller på beskæftigelsesområdet, som er blevet vedtaget i B20</w:t>
      </w:r>
      <w:r w:rsidR="000A2475" w:rsidRPr="00C15B55">
        <w:t>2</w:t>
      </w:r>
      <w:r w:rsidR="00F14AC0" w:rsidRPr="00C15B55">
        <w:t>5</w:t>
      </w:r>
      <w:r w:rsidRPr="00C15B55">
        <w:t xml:space="preserve"> - i alt ca. </w:t>
      </w:r>
      <w:r w:rsidR="00F14AC0" w:rsidRPr="00C15B55">
        <w:t>7</w:t>
      </w:r>
      <w:r w:rsidRPr="00C15B55">
        <w:t xml:space="preserve"> mio. kr. årligt. </w:t>
      </w:r>
    </w:p>
    <w:p w14:paraId="130F5FC2" w14:textId="48ACE421" w:rsidR="00F14AC0" w:rsidRPr="00C15B55" w:rsidRDefault="00F14AC0" w:rsidP="004E2DE6">
      <w:r w:rsidRPr="00C15B55">
        <w:t xml:space="preserve">For det tredje er der på baggrund af de seneste års resultater på overførselsområdet indarbejdet et årligt tab på overførslerne på 80 mio. kr. Tabet kan især henføres til udviklingen i dagpengeudgifterne, hvor Aarhus’ status på </w:t>
      </w:r>
      <w:proofErr w:type="spellStart"/>
      <w:r w:rsidRPr="00C15B55">
        <w:t>studieby</w:t>
      </w:r>
      <w:proofErr w:type="spellEnd"/>
      <w:r w:rsidRPr="00C15B55">
        <w:t xml:space="preserve"> gør det vanskeligt at få alle dimittender i job umiddelbart efter endt uddannelse.</w:t>
      </w:r>
    </w:p>
    <w:p w14:paraId="00880D60" w14:textId="6BCB39A9" w:rsidR="000A2475" w:rsidRPr="00C15B55" w:rsidRDefault="00DA3A8E" w:rsidP="004E2DE6">
      <w:r w:rsidRPr="00C15B55">
        <w:t xml:space="preserve">Den samlede korrektion er </w:t>
      </w:r>
      <w:r w:rsidR="00BD43E4" w:rsidRPr="00C15B55">
        <w:t>-</w:t>
      </w:r>
      <w:r w:rsidR="00807487" w:rsidRPr="00C15B55">
        <w:t>1</w:t>
      </w:r>
      <w:r w:rsidR="00F14AC0" w:rsidRPr="00C15B55">
        <w:t>00</w:t>
      </w:r>
      <w:r w:rsidRPr="00C15B55">
        <w:t xml:space="preserve"> mio. kr. i 202</w:t>
      </w:r>
      <w:r w:rsidR="00F14AC0" w:rsidRPr="00C15B55">
        <w:t>7</w:t>
      </w:r>
      <w:r w:rsidRPr="00C15B55">
        <w:t xml:space="preserve">, </w:t>
      </w:r>
      <w:r w:rsidR="00BD43E4" w:rsidRPr="00C15B55">
        <w:t>-</w:t>
      </w:r>
      <w:r w:rsidR="00807487" w:rsidRPr="00C15B55">
        <w:t>19</w:t>
      </w:r>
      <w:r w:rsidR="00F14AC0" w:rsidRPr="00C15B55">
        <w:t>7</w:t>
      </w:r>
      <w:r w:rsidR="003F652C" w:rsidRPr="00C15B55">
        <w:t xml:space="preserve"> </w:t>
      </w:r>
      <w:r w:rsidRPr="00C15B55">
        <w:t>mio. kr. i 202</w:t>
      </w:r>
      <w:r w:rsidR="00F14AC0" w:rsidRPr="00C15B55">
        <w:t>8</w:t>
      </w:r>
      <w:r w:rsidR="000A2475" w:rsidRPr="00C15B55">
        <w:t xml:space="preserve"> og </w:t>
      </w:r>
      <w:r w:rsidR="00BD43E4" w:rsidRPr="00C15B55">
        <w:t>-</w:t>
      </w:r>
      <w:r w:rsidR="00450DFE" w:rsidRPr="00C15B55">
        <w:t>1</w:t>
      </w:r>
      <w:r w:rsidR="00F14AC0" w:rsidRPr="00C15B55">
        <w:t>35</w:t>
      </w:r>
      <w:r w:rsidR="000A2475" w:rsidRPr="00C15B55">
        <w:t xml:space="preserve"> </w:t>
      </w:r>
      <w:r w:rsidR="003F652C" w:rsidRPr="00C15B55">
        <w:t>mio. kr. i 202</w:t>
      </w:r>
      <w:r w:rsidR="00F14AC0" w:rsidRPr="00C15B55">
        <w:t>9</w:t>
      </w:r>
      <w:r w:rsidRPr="00C15B55">
        <w:t xml:space="preserve"> (løbende priser</w:t>
      </w:r>
      <w:r w:rsidR="000A2475" w:rsidRPr="00C15B55">
        <w:t xml:space="preserve">). </w:t>
      </w:r>
    </w:p>
    <w:p w14:paraId="420D20AA" w14:textId="70040679" w:rsidR="00DA3A8E" w:rsidRPr="00C15B55" w:rsidRDefault="00DA3A8E" w:rsidP="004E2DE6">
      <w:r w:rsidRPr="00C15B55">
        <w:t xml:space="preserve">Korrektionen er beregnet i løbende priser, og der er i overslagsårene anvendt en forventet satsreguleringsprocent på </w:t>
      </w:r>
      <w:r w:rsidR="00F14AC0" w:rsidRPr="00C15B55">
        <w:t>4,5</w:t>
      </w:r>
      <w:r w:rsidR="00755FD0">
        <w:t xml:space="preserve"> </w:t>
      </w:r>
      <w:r w:rsidRPr="00C15B55">
        <w:t>%</w:t>
      </w:r>
      <w:r w:rsidR="00BD43E4" w:rsidRPr="00C15B55">
        <w:t>.</w:t>
      </w:r>
      <w:r w:rsidR="00A01A1D" w:rsidRPr="00C15B55">
        <w:t xml:space="preserve"> </w:t>
      </w:r>
    </w:p>
    <w:p w14:paraId="1719BE41" w14:textId="3E76DC8D" w:rsidR="00DA3A8E" w:rsidRPr="004E2DE6" w:rsidRDefault="00AD20D3" w:rsidP="004E2DE6">
      <w:pPr>
        <w:rPr>
          <w:i/>
          <w:iCs/>
        </w:rPr>
      </w:pPr>
      <w:r w:rsidRPr="004E2DE6">
        <w:rPr>
          <w:i/>
          <w:iCs/>
        </w:rPr>
        <w:t>Indtægtstab</w:t>
      </w:r>
      <w:r w:rsidR="00450DFE" w:rsidRPr="004E2DE6">
        <w:rPr>
          <w:i/>
          <w:iCs/>
        </w:rPr>
        <w:t xml:space="preserve"> </w:t>
      </w:r>
      <w:r w:rsidR="00F14AC0" w:rsidRPr="004E2DE6">
        <w:rPr>
          <w:i/>
          <w:iCs/>
        </w:rPr>
        <w:t>-</w:t>
      </w:r>
      <w:r w:rsidR="00450DFE" w:rsidRPr="004E2DE6">
        <w:rPr>
          <w:i/>
          <w:iCs/>
        </w:rPr>
        <w:t xml:space="preserve"> u</w:t>
      </w:r>
      <w:r w:rsidR="004C0919" w:rsidRPr="004E2DE6">
        <w:rPr>
          <w:i/>
          <w:iCs/>
        </w:rPr>
        <w:t>dligning</w:t>
      </w:r>
      <w:r w:rsidR="00F14AC0" w:rsidRPr="004E2DE6">
        <w:rPr>
          <w:i/>
          <w:iCs/>
        </w:rPr>
        <w:t>, reformer</w:t>
      </w:r>
      <w:r w:rsidR="004C0919" w:rsidRPr="004E2DE6">
        <w:rPr>
          <w:i/>
          <w:iCs/>
        </w:rPr>
        <w:t xml:space="preserve"> og bloktilskud</w:t>
      </w:r>
    </w:p>
    <w:p w14:paraId="42F2C3F5" w14:textId="229A7241" w:rsidR="00450DFE" w:rsidRPr="00C15B55" w:rsidRDefault="00450DFE" w:rsidP="004E2DE6">
      <w:r w:rsidRPr="00C15B55">
        <w:t>Der</w:t>
      </w:r>
      <w:r w:rsidR="00C43CDD" w:rsidRPr="00C15B55">
        <w:t xml:space="preserve"> budgetteres med et </w:t>
      </w:r>
      <w:r w:rsidR="00AD20D3" w:rsidRPr="00C15B55">
        <w:t>indtægtstab</w:t>
      </w:r>
      <w:r w:rsidR="00C43CDD" w:rsidRPr="00C15B55">
        <w:t xml:space="preserve"> på 40 mio. kr. om året – 40 mio. kr. i 2027, 80 mio. kr. i 2028 og 120 mio. kr. i 2029 – for at beskytte økonomien for virkninger af kommende reguleringer i bloktilskuddet som følge af reformer, tab på </w:t>
      </w:r>
      <w:r w:rsidR="00252B59">
        <w:t>kommende afskaffelse af den kommunale medfinansiering</w:t>
      </w:r>
      <w:r w:rsidR="004E2DE6">
        <w:t xml:space="preserve"> af sundhedsvæsenet</w:t>
      </w:r>
      <w:r w:rsidR="00C43CDD" w:rsidRPr="00C15B55">
        <w:t xml:space="preserve">, udligningsreform samt ændringer i fx den </w:t>
      </w:r>
      <w:r w:rsidRPr="00C15B55">
        <w:t>socioøkonomisk</w:t>
      </w:r>
      <w:r w:rsidR="00C43CDD" w:rsidRPr="00C15B55">
        <w:t>e</w:t>
      </w:r>
      <w:r w:rsidRPr="00C15B55">
        <w:t xml:space="preserve"> udvikling</w:t>
      </w:r>
      <w:r w:rsidR="00C43CDD" w:rsidRPr="00C15B55">
        <w:t xml:space="preserve"> og</w:t>
      </w:r>
      <w:r w:rsidRPr="00C15B55">
        <w:t xml:space="preserve"> skattesanktioner</w:t>
      </w:r>
      <w:r w:rsidR="004E2DE6">
        <w:t>.</w:t>
      </w:r>
    </w:p>
    <w:p w14:paraId="46E73DB9" w14:textId="6A5AC333" w:rsidR="00CF3DBF" w:rsidRPr="004E2DE6" w:rsidRDefault="00CF3DBF" w:rsidP="004E2DE6">
      <w:pPr>
        <w:rPr>
          <w:i/>
          <w:iCs/>
        </w:rPr>
      </w:pPr>
      <w:r w:rsidRPr="004E2DE6">
        <w:rPr>
          <w:i/>
          <w:iCs/>
        </w:rPr>
        <w:t>Forhøjet bloktilskud som følge af demografiregulering</w:t>
      </w:r>
    </w:p>
    <w:p w14:paraId="5369EE2B" w14:textId="3E1C4E14" w:rsidR="007B3979" w:rsidRPr="00C15B55" w:rsidRDefault="00C43CDD" w:rsidP="004E2DE6">
      <w:r w:rsidRPr="00C15B55">
        <w:t>De</w:t>
      </w:r>
      <w:r w:rsidR="004E2DE6">
        <w:t>t</w:t>
      </w:r>
      <w:r w:rsidRPr="00C15B55">
        <w:t xml:space="preserve"> er </w:t>
      </w:r>
      <w:r w:rsidR="004E2DE6">
        <w:t xml:space="preserve">i lighed med </w:t>
      </w:r>
      <w:r w:rsidRPr="00C15B55">
        <w:t xml:space="preserve">tidligere </w:t>
      </w:r>
      <w:r w:rsidR="004E2DE6">
        <w:t xml:space="preserve">år </w:t>
      </w:r>
      <w:r w:rsidR="00B37B0B" w:rsidRPr="00C15B55">
        <w:t xml:space="preserve">lagt til grund for budgetforslaget, at kommunerne også fremover kompenseres via økonomiaftalerne som følge af den demografiske udvikling </w:t>
      </w:r>
      <w:r w:rsidRPr="00C15B55">
        <w:t xml:space="preserve">i kommunerne </w:t>
      </w:r>
      <w:r w:rsidR="00B37B0B" w:rsidRPr="00C15B55">
        <w:t xml:space="preserve">med flere ældre borgere. </w:t>
      </w:r>
      <w:r w:rsidRPr="00C15B55">
        <w:t>Herved opnås sammenhæng mellem budgettet udgiftsside, hvor budgetmodellerne regulerer for demografi, og budgettets indtægtsside.</w:t>
      </w:r>
    </w:p>
    <w:p w14:paraId="35189037" w14:textId="21D883DB" w:rsidR="00B37B0B" w:rsidRPr="00C15B55" w:rsidRDefault="00C43CDD" w:rsidP="004E2DE6">
      <w:r w:rsidRPr="00C15B55">
        <w:t xml:space="preserve">Med udgangspunkt i en beregning af det demografiske </w:t>
      </w:r>
      <w:r w:rsidR="001C6C5E" w:rsidRPr="00C15B55">
        <w:t xml:space="preserve">træk i kommunerne </w:t>
      </w:r>
      <w:r w:rsidRPr="00C15B55">
        <w:t xml:space="preserve">fra Finansministeriet i august 2024 er der derfor </w:t>
      </w:r>
      <w:r w:rsidR="00B37B0B" w:rsidRPr="00C15B55">
        <w:t>i budgettets overslagsår indlagt en forudsætning om en kompensation på 1,</w:t>
      </w:r>
      <w:r w:rsidRPr="00C15B55">
        <w:t>25</w:t>
      </w:r>
      <w:r w:rsidR="00B37B0B" w:rsidRPr="00C15B55">
        <w:t xml:space="preserve"> mia. kr. om året på landsplan, svarende til </w:t>
      </w:r>
      <w:r w:rsidRPr="00C15B55">
        <w:t>7</w:t>
      </w:r>
      <w:r w:rsidR="006D24B9" w:rsidRPr="00C15B55">
        <w:t>9</w:t>
      </w:r>
      <w:r w:rsidR="00B37B0B" w:rsidRPr="00C15B55">
        <w:t xml:space="preserve"> mio. kr. i 202</w:t>
      </w:r>
      <w:r w:rsidR="006D24B9" w:rsidRPr="00C15B55">
        <w:t>7</w:t>
      </w:r>
      <w:r w:rsidR="00B37B0B" w:rsidRPr="00C15B55">
        <w:t>, 1</w:t>
      </w:r>
      <w:r w:rsidR="006D24B9" w:rsidRPr="00C15B55">
        <w:t>60</w:t>
      </w:r>
      <w:r w:rsidR="00B37B0B" w:rsidRPr="00C15B55">
        <w:t xml:space="preserve"> mio. kr. i 202</w:t>
      </w:r>
      <w:r w:rsidR="006D24B9" w:rsidRPr="00C15B55">
        <w:t>8</w:t>
      </w:r>
      <w:r w:rsidR="00B37B0B" w:rsidRPr="00C15B55">
        <w:t xml:space="preserve"> og 2</w:t>
      </w:r>
      <w:r w:rsidR="006D24B9" w:rsidRPr="00C15B55">
        <w:t>43</w:t>
      </w:r>
      <w:r w:rsidR="00B37B0B" w:rsidRPr="00C15B55">
        <w:t xml:space="preserve"> mio. kr. i 202</w:t>
      </w:r>
      <w:r w:rsidR="006D24B9" w:rsidRPr="00C15B55">
        <w:t>9</w:t>
      </w:r>
      <w:r w:rsidR="00B37B0B" w:rsidRPr="00C15B55">
        <w:t>.</w:t>
      </w:r>
      <w:r w:rsidR="00175161" w:rsidRPr="00C15B55">
        <w:t xml:space="preserve"> </w:t>
      </w:r>
      <w:r w:rsidR="001C6C5E" w:rsidRPr="00C15B55">
        <w:t xml:space="preserve">Reguleringen er nedjusteret med 250 mio. kr. på landsplan i forhold til forventningerne i budget 2025. </w:t>
      </w:r>
    </w:p>
    <w:p w14:paraId="08516A50" w14:textId="36B94636" w:rsidR="00796D25" w:rsidRPr="004E2DE6" w:rsidRDefault="00796D25" w:rsidP="004E2DE6">
      <w:pPr>
        <w:rPr>
          <w:i/>
          <w:iCs/>
        </w:rPr>
      </w:pPr>
      <w:r w:rsidRPr="004E2DE6">
        <w:rPr>
          <w:i/>
          <w:iCs/>
        </w:rPr>
        <w:t>Bloktilskudsregulering vedrørende dækningsafgift</w:t>
      </w:r>
    </w:p>
    <w:p w14:paraId="7BC87EDA" w14:textId="1673C596" w:rsidR="00B17329" w:rsidRPr="00C15B55" w:rsidRDefault="00B17329" w:rsidP="004E2DE6">
      <w:r w:rsidRPr="00C15B55">
        <w:t>Fra 2022 omlægges beskatningsgrundlaget for dækningsafgift fra forskelsværdien</w:t>
      </w:r>
      <w:r w:rsidR="000E0239" w:rsidRPr="00C15B55">
        <w:t xml:space="preserve"> </w:t>
      </w:r>
      <w:r w:rsidRPr="00C15B55">
        <w:t xml:space="preserve">til grundværdierne. Folketinget har i december 2021 </w:t>
      </w:r>
      <w:r w:rsidR="000E0239" w:rsidRPr="00C15B55">
        <w:t>vedtaget en stigningsbegrænsning på 36,9% på provenuet for dækningsafgiften i forbindelse med omlægningen</w:t>
      </w:r>
      <w:r w:rsidRPr="00C15B55">
        <w:t>, men</w:t>
      </w:r>
      <w:r w:rsidR="000E0239" w:rsidRPr="00C15B55">
        <w:t xml:space="preserve"> </w:t>
      </w:r>
      <w:r w:rsidRPr="00C15B55">
        <w:t>der er indsat en stigningsbegrænsning på maksimalt 30% i de foreløbige opkrævninger</w:t>
      </w:r>
      <w:r w:rsidR="000E0239" w:rsidRPr="00C15B55">
        <w:t xml:space="preserve"> </w:t>
      </w:r>
      <w:r w:rsidRPr="00C15B55">
        <w:t>af dækningsafgiften i 2022, 2023 og 2024. Opkrævningerne genberegnes</w:t>
      </w:r>
      <w:r w:rsidR="000E0239" w:rsidRPr="00C15B55">
        <w:t xml:space="preserve"> </w:t>
      </w:r>
      <w:r w:rsidRPr="00C15B55">
        <w:t xml:space="preserve">med udgangspunkt i de nye vurderinger </w:t>
      </w:r>
      <w:r w:rsidR="003949F9" w:rsidRPr="00C15B55">
        <w:t>-</w:t>
      </w:r>
      <w:r w:rsidRPr="00C15B55">
        <w:t xml:space="preserve"> forventeligt </w:t>
      </w:r>
      <w:r w:rsidR="00E42442" w:rsidRPr="00C15B55">
        <w:t xml:space="preserve">først </w:t>
      </w:r>
      <w:r w:rsidRPr="00C15B55">
        <w:t>i 202</w:t>
      </w:r>
      <w:r w:rsidR="001C6C5E" w:rsidRPr="00C15B55">
        <w:t>7</w:t>
      </w:r>
      <w:r w:rsidRPr="00C15B55">
        <w:t xml:space="preserve">. </w:t>
      </w:r>
      <w:r w:rsidR="003949F9" w:rsidRPr="00C15B55">
        <w:t xml:space="preserve">På baggrund heraf forventes en </w:t>
      </w:r>
      <w:r w:rsidRPr="00C15B55">
        <w:t>modregn</w:t>
      </w:r>
      <w:r w:rsidR="003949F9" w:rsidRPr="00C15B55">
        <w:t>ing</w:t>
      </w:r>
      <w:r w:rsidRPr="00C15B55">
        <w:t xml:space="preserve"> i bloktilskuddet for stigningerne</w:t>
      </w:r>
      <w:r w:rsidR="000E0239" w:rsidRPr="00C15B55">
        <w:t xml:space="preserve"> </w:t>
      </w:r>
      <w:r w:rsidRPr="00C15B55">
        <w:t>i 202</w:t>
      </w:r>
      <w:r w:rsidR="003949F9" w:rsidRPr="00C15B55">
        <w:t>2</w:t>
      </w:r>
      <w:r w:rsidRPr="00C15B55">
        <w:t>-202</w:t>
      </w:r>
      <w:r w:rsidR="003949F9" w:rsidRPr="00C15B55">
        <w:t>4</w:t>
      </w:r>
      <w:r w:rsidRPr="00C15B55">
        <w:t xml:space="preserve"> </w:t>
      </w:r>
      <w:r w:rsidR="003949F9" w:rsidRPr="00C15B55">
        <w:t>i 202</w:t>
      </w:r>
      <w:r w:rsidR="001C6C5E" w:rsidRPr="00C15B55">
        <w:t>7</w:t>
      </w:r>
      <w:r w:rsidR="003949F9" w:rsidRPr="00C15B55">
        <w:t xml:space="preserve"> på </w:t>
      </w:r>
      <w:r w:rsidR="00E42442" w:rsidRPr="00C15B55">
        <w:t>76</w:t>
      </w:r>
      <w:r w:rsidR="003949F9" w:rsidRPr="00C15B55">
        <w:t xml:space="preserve"> mio. kr. </w:t>
      </w:r>
    </w:p>
    <w:p w14:paraId="6A3915E6" w14:textId="3479B2E1" w:rsidR="00E624A9" w:rsidRPr="004E2DE6" w:rsidRDefault="00E624A9" w:rsidP="004E2DE6">
      <w:pPr>
        <w:rPr>
          <w:i/>
          <w:iCs/>
        </w:rPr>
      </w:pPr>
      <w:r w:rsidRPr="004E2DE6">
        <w:rPr>
          <w:i/>
          <w:iCs/>
        </w:rPr>
        <w:t>Administrative besparelser på landsplan</w:t>
      </w:r>
    </w:p>
    <w:p w14:paraId="6AFA7AC4" w14:textId="701DF7AB" w:rsidR="00621B69" w:rsidRPr="00C15B55" w:rsidRDefault="001A3510" w:rsidP="004E2DE6">
      <w:r w:rsidRPr="00C15B55">
        <w:t>I Økonomiaftalen for 202</w:t>
      </w:r>
      <w:r w:rsidR="001C6C5E" w:rsidRPr="00C15B55">
        <w:t>6</w:t>
      </w:r>
      <w:r w:rsidRPr="00C15B55">
        <w:t xml:space="preserve"> er der indarbejdet </w:t>
      </w:r>
      <w:r w:rsidR="00E42442" w:rsidRPr="00C15B55">
        <w:t xml:space="preserve">yderligere </w:t>
      </w:r>
      <w:r w:rsidRPr="00C15B55">
        <w:t xml:space="preserve">administrative besparelser i kommunerne på </w:t>
      </w:r>
      <w:r w:rsidR="00E42442" w:rsidRPr="00C15B55">
        <w:t>233</w:t>
      </w:r>
      <w:r w:rsidRPr="00C15B55">
        <w:t xml:space="preserve"> mio. kr., jf. regeringsgrundlaget for SVM-regeringen. Her er det forudsat, at kommunerne frem til 2030 skal spare 2,1 mia. kr. på administration</w:t>
      </w:r>
      <w:r w:rsidR="00E42442" w:rsidRPr="00C15B55">
        <w:t>. Stigningen i de administrative besparelser efter 202</w:t>
      </w:r>
      <w:r w:rsidR="001C6C5E" w:rsidRPr="00C15B55">
        <w:t>6</w:t>
      </w:r>
      <w:r w:rsidR="00E42442" w:rsidRPr="00C15B55">
        <w:t xml:space="preserve"> </w:t>
      </w:r>
      <w:r w:rsidRPr="00C15B55">
        <w:t xml:space="preserve">er ikke indarbejdet i skatte-og tilskudsmodellen. De administrative besparelser </w:t>
      </w:r>
      <w:r w:rsidR="00E42442" w:rsidRPr="00C15B55">
        <w:t xml:space="preserve">i Aarhus </w:t>
      </w:r>
      <w:r w:rsidRPr="00C15B55">
        <w:t>er på udgiftssiden indlagt med en stigende profil, så derfor skal besparelserne også indarbejdes på denne måde på indtægtssiden. Profilen på de administrative besparelser fra staten er ikke kendt, men det er med korrektionen forudsat, at profilen sker gradvist,</w:t>
      </w:r>
      <w:r w:rsidR="009E429F" w:rsidRPr="00C15B55">
        <w:t xml:space="preserve"> svarende til </w:t>
      </w:r>
      <w:r w:rsidR="00133706" w:rsidRPr="00C15B55">
        <w:t xml:space="preserve">årligt 233 </w:t>
      </w:r>
      <w:r w:rsidR="009E429F" w:rsidRPr="00C15B55">
        <w:t xml:space="preserve">mio. kr. </w:t>
      </w:r>
      <w:r w:rsidR="00133706" w:rsidRPr="00C15B55">
        <w:t>på landsplan. Dette svarer til</w:t>
      </w:r>
      <w:r w:rsidR="00C93D58" w:rsidRPr="00C15B55">
        <w:t xml:space="preserve"> en samlet </w:t>
      </w:r>
      <w:r w:rsidR="00C93D58" w:rsidRPr="00C15B55">
        <w:lastRenderedPageBreak/>
        <w:t>besparelse på administration i 202</w:t>
      </w:r>
      <w:r w:rsidR="001C6C5E" w:rsidRPr="00C15B55">
        <w:t>7</w:t>
      </w:r>
      <w:r w:rsidR="00C93D58" w:rsidRPr="00C15B55">
        <w:t xml:space="preserve"> på </w:t>
      </w:r>
      <w:r w:rsidR="001C6C5E" w:rsidRPr="00C15B55">
        <w:t>88</w:t>
      </w:r>
      <w:r w:rsidR="00C93D58" w:rsidRPr="00C15B55">
        <w:t xml:space="preserve"> mio. kr., </w:t>
      </w:r>
      <w:r w:rsidR="001C6C5E" w:rsidRPr="00C15B55">
        <w:t>103</w:t>
      </w:r>
      <w:r w:rsidR="00C93D58" w:rsidRPr="00C15B55">
        <w:t xml:space="preserve"> mio. kr. i 202</w:t>
      </w:r>
      <w:r w:rsidR="001C6C5E" w:rsidRPr="00C15B55">
        <w:t>8</w:t>
      </w:r>
      <w:r w:rsidR="00C93D58" w:rsidRPr="00C15B55">
        <w:t xml:space="preserve"> og 1</w:t>
      </w:r>
      <w:r w:rsidR="001C6C5E" w:rsidRPr="00C15B55">
        <w:t>18</w:t>
      </w:r>
      <w:r w:rsidR="00C93D58" w:rsidRPr="00C15B55">
        <w:t xml:space="preserve"> mio. kr. i 202</w:t>
      </w:r>
      <w:r w:rsidR="001C6C5E" w:rsidRPr="00C15B55">
        <w:t>9</w:t>
      </w:r>
      <w:r w:rsidR="00C93D58" w:rsidRPr="00C15B55">
        <w:t>.</w:t>
      </w:r>
    </w:p>
    <w:p w14:paraId="245C74B3" w14:textId="336B4410" w:rsidR="00DA3A8E" w:rsidRPr="00ED3C82" w:rsidRDefault="00A00F3C" w:rsidP="00ED3C82">
      <w:pPr>
        <w:pStyle w:val="Overskrift2"/>
      </w:pPr>
      <w:bookmarkStart w:id="19" w:name="_Toc212451865"/>
      <w:r w:rsidRPr="00ED3C82">
        <w:t>Overblik over generelle tilskud i b</w:t>
      </w:r>
      <w:r w:rsidR="00DA3A8E" w:rsidRPr="00ED3C82">
        <w:t>udget 20</w:t>
      </w:r>
      <w:r w:rsidR="00105E5E" w:rsidRPr="00ED3C82">
        <w:t>2</w:t>
      </w:r>
      <w:r w:rsidR="001E20C1" w:rsidRPr="00ED3C82">
        <w:t>6</w:t>
      </w:r>
      <w:r w:rsidR="00DA3A8E" w:rsidRPr="00ED3C82">
        <w:t>-202</w:t>
      </w:r>
      <w:r w:rsidR="001E20C1" w:rsidRPr="00ED3C82">
        <w:t>9</w:t>
      </w:r>
      <w:bookmarkEnd w:id="19"/>
    </w:p>
    <w:p w14:paraId="28A0C49C" w14:textId="50B270AC" w:rsidR="00585558" w:rsidRPr="00C15B55" w:rsidRDefault="00DA3A8E" w:rsidP="00ED3C82">
      <w:r w:rsidRPr="00C15B55">
        <w:t>Indtægterne fra generelle tilskud og udligning ser på den baggrund således ud i budgettet for 20</w:t>
      </w:r>
      <w:r w:rsidR="00105E5E" w:rsidRPr="00C15B55">
        <w:t>2</w:t>
      </w:r>
      <w:r w:rsidR="001E20C1" w:rsidRPr="00C15B55">
        <w:t>6</w:t>
      </w:r>
      <w:r w:rsidRPr="00C15B55">
        <w:t>-202</w:t>
      </w:r>
      <w:r w:rsidR="001E20C1" w:rsidRPr="00C15B55">
        <w:t>9</w:t>
      </w:r>
      <w:r w:rsidRPr="00C15B55">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Pr>
      <w:tblGrid>
        <w:gridCol w:w="4795"/>
        <w:gridCol w:w="1070"/>
        <w:gridCol w:w="1070"/>
        <w:gridCol w:w="1112"/>
        <w:gridCol w:w="1112"/>
        <w:gridCol w:w="1070"/>
      </w:tblGrid>
      <w:tr w:rsidR="00C15B55" w:rsidRPr="00C15B55" w14:paraId="0FCBD755" w14:textId="77777777" w:rsidTr="00CE0839">
        <w:trPr>
          <w:trHeight w:val="397"/>
        </w:trPr>
        <w:tc>
          <w:tcPr>
            <w:tcW w:w="4795" w:type="dxa"/>
            <w:shd w:val="clear" w:color="auto" w:fill="5F9F2A" w:themeFill="accent1"/>
            <w:noWrap/>
            <w:vAlign w:val="center"/>
            <w:hideMark/>
          </w:tcPr>
          <w:p w14:paraId="308C7762" w14:textId="185F7E6C" w:rsidR="007729E2" w:rsidRPr="00ED3C82" w:rsidRDefault="007729E2" w:rsidP="00ED3C82">
            <w:pPr>
              <w:pStyle w:val="Tabeloverskrift"/>
            </w:pPr>
            <w:r w:rsidRPr="00ED3C82">
              <w:t xml:space="preserve">Mio. kr., løbende priser </w:t>
            </w:r>
          </w:p>
        </w:tc>
        <w:tc>
          <w:tcPr>
            <w:tcW w:w="1070" w:type="dxa"/>
            <w:shd w:val="clear" w:color="auto" w:fill="5F9F2A" w:themeFill="accent1"/>
            <w:vAlign w:val="center"/>
            <w:hideMark/>
          </w:tcPr>
          <w:p w14:paraId="17CCA8A5" w14:textId="5A43274B" w:rsidR="007729E2" w:rsidRPr="00ED3C82" w:rsidRDefault="007729E2" w:rsidP="00ED3C82">
            <w:pPr>
              <w:pStyle w:val="Tabeloverskrift"/>
            </w:pPr>
            <w:r w:rsidRPr="00ED3C82">
              <w:t>B 202</w:t>
            </w:r>
            <w:r w:rsidR="001E20C1" w:rsidRPr="00ED3C82">
              <w:t>5</w:t>
            </w:r>
          </w:p>
        </w:tc>
        <w:tc>
          <w:tcPr>
            <w:tcW w:w="1070" w:type="dxa"/>
            <w:shd w:val="clear" w:color="auto" w:fill="5F9F2A" w:themeFill="accent1"/>
            <w:vAlign w:val="center"/>
            <w:hideMark/>
          </w:tcPr>
          <w:p w14:paraId="216E84B4" w14:textId="7E695817" w:rsidR="007729E2" w:rsidRPr="00ED3C82" w:rsidRDefault="007729E2" w:rsidP="00ED3C82">
            <w:pPr>
              <w:pStyle w:val="Tabeloverskrift"/>
            </w:pPr>
            <w:r w:rsidRPr="00ED3C82">
              <w:t>B 202</w:t>
            </w:r>
            <w:r w:rsidR="001E20C1" w:rsidRPr="00ED3C82">
              <w:t>6</w:t>
            </w:r>
          </w:p>
        </w:tc>
        <w:tc>
          <w:tcPr>
            <w:tcW w:w="1112" w:type="dxa"/>
            <w:shd w:val="clear" w:color="auto" w:fill="5F9F2A" w:themeFill="accent1"/>
            <w:vAlign w:val="center"/>
            <w:hideMark/>
          </w:tcPr>
          <w:p w14:paraId="27E5C12A" w14:textId="3FBD482F" w:rsidR="007729E2" w:rsidRPr="00ED3C82" w:rsidRDefault="007729E2" w:rsidP="00ED3C82">
            <w:pPr>
              <w:pStyle w:val="Tabeloverskrift"/>
            </w:pPr>
            <w:r w:rsidRPr="00ED3C82">
              <w:t>BO 202</w:t>
            </w:r>
            <w:r w:rsidR="001E20C1" w:rsidRPr="00ED3C82">
              <w:t>7</w:t>
            </w:r>
          </w:p>
        </w:tc>
        <w:tc>
          <w:tcPr>
            <w:tcW w:w="1112" w:type="dxa"/>
            <w:shd w:val="clear" w:color="auto" w:fill="5F9F2A" w:themeFill="accent1"/>
            <w:vAlign w:val="center"/>
          </w:tcPr>
          <w:p w14:paraId="34301E95" w14:textId="7455BFFC" w:rsidR="007729E2" w:rsidRPr="00ED3C82" w:rsidRDefault="007729E2" w:rsidP="00ED3C82">
            <w:pPr>
              <w:pStyle w:val="Tabeloverskrift"/>
            </w:pPr>
            <w:r w:rsidRPr="00ED3C82">
              <w:t>BO 202</w:t>
            </w:r>
            <w:r w:rsidR="001E20C1" w:rsidRPr="00ED3C82">
              <w:t>8</w:t>
            </w:r>
          </w:p>
        </w:tc>
        <w:tc>
          <w:tcPr>
            <w:tcW w:w="1070" w:type="dxa"/>
            <w:shd w:val="clear" w:color="auto" w:fill="5F9F2A" w:themeFill="accent1"/>
            <w:vAlign w:val="center"/>
            <w:hideMark/>
          </w:tcPr>
          <w:p w14:paraId="3512080E" w14:textId="367D8E4A" w:rsidR="007729E2" w:rsidRPr="00ED3C82" w:rsidRDefault="007729E2" w:rsidP="00ED3C82">
            <w:pPr>
              <w:pStyle w:val="Tabeloverskrift"/>
            </w:pPr>
            <w:r w:rsidRPr="00ED3C82">
              <w:t>BO 202</w:t>
            </w:r>
            <w:r w:rsidR="001E20C1" w:rsidRPr="00ED3C82">
              <w:t>9</w:t>
            </w:r>
          </w:p>
        </w:tc>
      </w:tr>
      <w:tr w:rsidR="00C15B55" w:rsidRPr="00C15B55" w14:paraId="66C7D989" w14:textId="77777777" w:rsidTr="00CE0839">
        <w:trPr>
          <w:trHeight w:val="284"/>
        </w:trPr>
        <w:tc>
          <w:tcPr>
            <w:tcW w:w="4795" w:type="dxa"/>
          </w:tcPr>
          <w:p w14:paraId="1A108DFB" w14:textId="47447677" w:rsidR="00420972" w:rsidRPr="00ED3C82" w:rsidRDefault="00420972" w:rsidP="00ED3C82">
            <w:pPr>
              <w:pStyle w:val="Tabeludfyldningiret"/>
              <w:jc w:val="left"/>
              <w:rPr>
                <w:b/>
                <w:bCs/>
              </w:rPr>
            </w:pPr>
            <w:r w:rsidRPr="00ED3C82">
              <w:rPr>
                <w:b/>
                <w:bCs/>
              </w:rPr>
              <w:t>Udligning og generelle tilskud:</w:t>
            </w:r>
          </w:p>
        </w:tc>
        <w:tc>
          <w:tcPr>
            <w:tcW w:w="1070" w:type="dxa"/>
            <w:noWrap/>
          </w:tcPr>
          <w:p w14:paraId="08238F35" w14:textId="77777777" w:rsidR="00420972" w:rsidRPr="00C15B55" w:rsidRDefault="00420972" w:rsidP="001E20C1">
            <w:pPr>
              <w:pStyle w:val="Tabeludfyldningiret"/>
              <w:rPr>
                <w:color w:val="FF0000"/>
              </w:rPr>
            </w:pPr>
          </w:p>
        </w:tc>
        <w:tc>
          <w:tcPr>
            <w:tcW w:w="1070" w:type="dxa"/>
            <w:noWrap/>
          </w:tcPr>
          <w:p w14:paraId="5739A07F" w14:textId="77777777" w:rsidR="00420972" w:rsidRPr="00C15B55" w:rsidRDefault="00420972" w:rsidP="001E20C1">
            <w:pPr>
              <w:pStyle w:val="Tabeludfyldningiret"/>
              <w:rPr>
                <w:color w:val="FF0000"/>
              </w:rPr>
            </w:pPr>
          </w:p>
        </w:tc>
        <w:tc>
          <w:tcPr>
            <w:tcW w:w="1112" w:type="dxa"/>
            <w:noWrap/>
          </w:tcPr>
          <w:p w14:paraId="58CF0379" w14:textId="5FB162E3" w:rsidR="00420972" w:rsidRPr="00C15B55" w:rsidRDefault="00420972" w:rsidP="001E20C1">
            <w:pPr>
              <w:pStyle w:val="Tabeludfyldningiret"/>
              <w:rPr>
                <w:color w:val="FF0000"/>
              </w:rPr>
            </w:pPr>
          </w:p>
        </w:tc>
        <w:tc>
          <w:tcPr>
            <w:tcW w:w="1112" w:type="dxa"/>
          </w:tcPr>
          <w:p w14:paraId="18C522E9" w14:textId="295FEA6F" w:rsidR="00420972" w:rsidRPr="00C15B55" w:rsidRDefault="00420972" w:rsidP="001E20C1">
            <w:pPr>
              <w:pStyle w:val="Tabeludfyldningiret"/>
              <w:rPr>
                <w:color w:val="FF0000"/>
              </w:rPr>
            </w:pPr>
          </w:p>
        </w:tc>
        <w:tc>
          <w:tcPr>
            <w:tcW w:w="1070" w:type="dxa"/>
            <w:noWrap/>
          </w:tcPr>
          <w:p w14:paraId="5DD8F1FA" w14:textId="41A31B6D" w:rsidR="00420972" w:rsidRPr="00C15B55" w:rsidRDefault="00420972" w:rsidP="001E20C1">
            <w:pPr>
              <w:pStyle w:val="Tabeludfyldningiret"/>
              <w:rPr>
                <w:color w:val="FF0000"/>
              </w:rPr>
            </w:pPr>
          </w:p>
        </w:tc>
      </w:tr>
      <w:tr w:rsidR="00C15B55" w:rsidRPr="00C15B55" w14:paraId="08692C22" w14:textId="77777777" w:rsidTr="00CE0839">
        <w:trPr>
          <w:trHeight w:val="284"/>
        </w:trPr>
        <w:tc>
          <w:tcPr>
            <w:tcW w:w="4795" w:type="dxa"/>
          </w:tcPr>
          <w:p w14:paraId="2C724F46" w14:textId="486EA3B8" w:rsidR="001E20C1" w:rsidRPr="00ED3C82" w:rsidRDefault="001E20C1" w:rsidP="00ED3C82">
            <w:pPr>
              <w:pStyle w:val="Tabeludfyldningiret"/>
              <w:jc w:val="left"/>
            </w:pPr>
            <w:r w:rsidRPr="00ED3C82">
              <w:t>Udligning af beskatningsgrundlag</w:t>
            </w:r>
          </w:p>
        </w:tc>
        <w:tc>
          <w:tcPr>
            <w:tcW w:w="1070" w:type="dxa"/>
            <w:noWrap/>
          </w:tcPr>
          <w:p w14:paraId="3857FBA9" w14:textId="28E799E5" w:rsidR="001E20C1" w:rsidRPr="00C15B55" w:rsidRDefault="001E20C1" w:rsidP="00472522">
            <w:pPr>
              <w:pStyle w:val="Tabeludfyldningiret"/>
            </w:pPr>
            <w:r w:rsidRPr="00C15B55">
              <w:t>-58</w:t>
            </w:r>
          </w:p>
        </w:tc>
        <w:tc>
          <w:tcPr>
            <w:tcW w:w="1070" w:type="dxa"/>
            <w:noWrap/>
          </w:tcPr>
          <w:p w14:paraId="225E43F5" w14:textId="24706724" w:rsidR="001E20C1" w:rsidRPr="00C15B55" w:rsidRDefault="00895680" w:rsidP="00472522">
            <w:pPr>
              <w:pStyle w:val="Tabeludfyldningiret"/>
            </w:pPr>
            <w:r w:rsidRPr="00C15B55">
              <w:t>-</w:t>
            </w:r>
            <w:r w:rsidR="0048715D">
              <w:t>525</w:t>
            </w:r>
          </w:p>
        </w:tc>
        <w:tc>
          <w:tcPr>
            <w:tcW w:w="1112" w:type="dxa"/>
            <w:noWrap/>
          </w:tcPr>
          <w:p w14:paraId="1561E560" w14:textId="7D33D569" w:rsidR="001E20C1" w:rsidRPr="00C15B55" w:rsidRDefault="00895680" w:rsidP="00472522">
            <w:pPr>
              <w:pStyle w:val="Tabeludfyldningiret"/>
            </w:pPr>
            <w:r w:rsidRPr="00C15B55">
              <w:t>-3</w:t>
            </w:r>
            <w:r w:rsidR="0048715D">
              <w:t>49</w:t>
            </w:r>
          </w:p>
        </w:tc>
        <w:tc>
          <w:tcPr>
            <w:tcW w:w="1112" w:type="dxa"/>
          </w:tcPr>
          <w:p w14:paraId="67A93F68" w14:textId="56E7E7FF" w:rsidR="001E20C1" w:rsidRPr="00C15B55" w:rsidRDefault="00895680" w:rsidP="00472522">
            <w:pPr>
              <w:pStyle w:val="Tabeludfyldningiret"/>
            </w:pPr>
            <w:r w:rsidRPr="00C15B55">
              <w:t>-3</w:t>
            </w:r>
            <w:r w:rsidR="0048715D">
              <w:t>24</w:t>
            </w:r>
          </w:p>
        </w:tc>
        <w:tc>
          <w:tcPr>
            <w:tcW w:w="1070" w:type="dxa"/>
            <w:noWrap/>
          </w:tcPr>
          <w:p w14:paraId="62F26713" w14:textId="651730D4" w:rsidR="001E20C1" w:rsidRPr="00C15B55" w:rsidRDefault="00895680" w:rsidP="00472522">
            <w:pPr>
              <w:pStyle w:val="Tabeludfyldningiret"/>
            </w:pPr>
            <w:r w:rsidRPr="00C15B55">
              <w:t>-3</w:t>
            </w:r>
            <w:r w:rsidR="0048715D">
              <w:t>56</w:t>
            </w:r>
          </w:p>
        </w:tc>
      </w:tr>
      <w:tr w:rsidR="00C15B55" w:rsidRPr="00C15B55" w14:paraId="137EF13B" w14:textId="77777777" w:rsidTr="00CE0839">
        <w:trPr>
          <w:trHeight w:val="284"/>
        </w:trPr>
        <w:tc>
          <w:tcPr>
            <w:tcW w:w="4795" w:type="dxa"/>
          </w:tcPr>
          <w:p w14:paraId="45CEBADD" w14:textId="728A426D" w:rsidR="001E20C1" w:rsidRPr="00ED3C82" w:rsidRDefault="001E20C1" w:rsidP="00ED3C82">
            <w:pPr>
              <w:pStyle w:val="Tabeludfyldningiret"/>
              <w:jc w:val="left"/>
            </w:pPr>
            <w:r w:rsidRPr="00ED3C82">
              <w:t>Finansieringsandel - tillæg vedr. beskatningsgrundlag</w:t>
            </w:r>
          </w:p>
        </w:tc>
        <w:tc>
          <w:tcPr>
            <w:tcW w:w="1070" w:type="dxa"/>
            <w:noWrap/>
          </w:tcPr>
          <w:p w14:paraId="26E39810" w14:textId="3A425CE4" w:rsidR="001E20C1" w:rsidRPr="00C15B55" w:rsidRDefault="001E20C1" w:rsidP="00472522">
            <w:pPr>
              <w:pStyle w:val="Tabeludfyldningiret"/>
            </w:pPr>
            <w:r w:rsidRPr="00C15B55">
              <w:t>-57</w:t>
            </w:r>
          </w:p>
        </w:tc>
        <w:tc>
          <w:tcPr>
            <w:tcW w:w="1070" w:type="dxa"/>
            <w:noWrap/>
          </w:tcPr>
          <w:p w14:paraId="044D673F" w14:textId="2FD9AC42" w:rsidR="001E20C1" w:rsidRPr="00C15B55" w:rsidRDefault="00895680" w:rsidP="00472522">
            <w:pPr>
              <w:pStyle w:val="Tabeludfyldningiret"/>
            </w:pPr>
            <w:r w:rsidRPr="00C15B55">
              <w:t>-65</w:t>
            </w:r>
          </w:p>
        </w:tc>
        <w:tc>
          <w:tcPr>
            <w:tcW w:w="1112" w:type="dxa"/>
            <w:noWrap/>
          </w:tcPr>
          <w:p w14:paraId="287E8FAA" w14:textId="44CF7B0B" w:rsidR="001E20C1" w:rsidRPr="00C15B55" w:rsidRDefault="00895680" w:rsidP="00472522">
            <w:pPr>
              <w:pStyle w:val="Tabeludfyldningiret"/>
            </w:pPr>
            <w:r w:rsidRPr="00C15B55">
              <w:t>-</w:t>
            </w:r>
            <w:r w:rsidR="0048715D">
              <w:t>59</w:t>
            </w:r>
          </w:p>
        </w:tc>
        <w:tc>
          <w:tcPr>
            <w:tcW w:w="1112" w:type="dxa"/>
          </w:tcPr>
          <w:p w14:paraId="1A5A33F1" w14:textId="75782A5A" w:rsidR="001E20C1" w:rsidRPr="00C15B55" w:rsidRDefault="00895680" w:rsidP="00472522">
            <w:pPr>
              <w:pStyle w:val="Tabeludfyldningiret"/>
            </w:pPr>
            <w:r w:rsidRPr="00C15B55">
              <w:t>-</w:t>
            </w:r>
            <w:r w:rsidR="0048715D">
              <w:t>59</w:t>
            </w:r>
          </w:p>
        </w:tc>
        <w:tc>
          <w:tcPr>
            <w:tcW w:w="1070" w:type="dxa"/>
            <w:noWrap/>
          </w:tcPr>
          <w:p w14:paraId="11876D76" w14:textId="5820379D" w:rsidR="001E20C1" w:rsidRPr="00C15B55" w:rsidRDefault="00895680" w:rsidP="00472522">
            <w:pPr>
              <w:pStyle w:val="Tabeludfyldningiret"/>
            </w:pPr>
            <w:r w:rsidRPr="00C15B55">
              <w:t>-</w:t>
            </w:r>
            <w:r w:rsidR="0048715D">
              <w:t>62</w:t>
            </w:r>
          </w:p>
        </w:tc>
      </w:tr>
      <w:tr w:rsidR="00C15B55" w:rsidRPr="00C15B55" w14:paraId="425E2DB2" w14:textId="77777777" w:rsidTr="00CE0839">
        <w:trPr>
          <w:trHeight w:val="284"/>
        </w:trPr>
        <w:tc>
          <w:tcPr>
            <w:tcW w:w="4795" w:type="dxa"/>
          </w:tcPr>
          <w:p w14:paraId="433C5CF8" w14:textId="4DDB92C1" w:rsidR="001E20C1" w:rsidRPr="00ED3C82" w:rsidRDefault="001E20C1" w:rsidP="00ED3C82">
            <w:pPr>
              <w:pStyle w:val="Tabeludfyldningiret"/>
              <w:jc w:val="left"/>
            </w:pPr>
            <w:r w:rsidRPr="00ED3C82">
              <w:t xml:space="preserve">Udligning af udgiftsbehov </w:t>
            </w:r>
          </w:p>
        </w:tc>
        <w:tc>
          <w:tcPr>
            <w:tcW w:w="1070" w:type="dxa"/>
            <w:noWrap/>
          </w:tcPr>
          <w:p w14:paraId="7DC77985" w14:textId="56E755A3" w:rsidR="001E20C1" w:rsidRPr="00C15B55" w:rsidRDefault="001E20C1" w:rsidP="00472522">
            <w:pPr>
              <w:pStyle w:val="Tabeludfyldningiret"/>
            </w:pPr>
            <w:r w:rsidRPr="00C15B55">
              <w:t>1.647</w:t>
            </w:r>
          </w:p>
        </w:tc>
        <w:tc>
          <w:tcPr>
            <w:tcW w:w="1070" w:type="dxa"/>
            <w:noWrap/>
          </w:tcPr>
          <w:p w14:paraId="688DE4F1" w14:textId="05A2C082" w:rsidR="001E20C1" w:rsidRPr="00C15B55" w:rsidRDefault="00895680" w:rsidP="00472522">
            <w:pPr>
              <w:pStyle w:val="Tabeludfyldningiret"/>
            </w:pPr>
            <w:r w:rsidRPr="00C15B55">
              <w:t>1.87</w:t>
            </w:r>
            <w:r w:rsidR="0048715D">
              <w:t>8</w:t>
            </w:r>
          </w:p>
        </w:tc>
        <w:tc>
          <w:tcPr>
            <w:tcW w:w="1112" w:type="dxa"/>
            <w:noWrap/>
          </w:tcPr>
          <w:p w14:paraId="2694D4AF" w14:textId="6327D34D" w:rsidR="001E20C1" w:rsidRPr="00C15B55" w:rsidRDefault="00895680" w:rsidP="00472522">
            <w:pPr>
              <w:pStyle w:val="Tabeludfyldningiret"/>
            </w:pPr>
            <w:r w:rsidRPr="00E13C26">
              <w:t>2.0</w:t>
            </w:r>
            <w:r w:rsidR="00E13C26" w:rsidRPr="00E13C26">
              <w:t>56</w:t>
            </w:r>
          </w:p>
        </w:tc>
        <w:tc>
          <w:tcPr>
            <w:tcW w:w="1112" w:type="dxa"/>
          </w:tcPr>
          <w:p w14:paraId="36AFFCF7" w14:textId="0EA636F8" w:rsidR="001E20C1" w:rsidRPr="00C15B55" w:rsidRDefault="00895680" w:rsidP="00472522">
            <w:pPr>
              <w:pStyle w:val="Tabeludfyldningiret"/>
            </w:pPr>
            <w:r w:rsidRPr="00C15B55">
              <w:t>2.18</w:t>
            </w:r>
            <w:r w:rsidR="0048715D">
              <w:t>8</w:t>
            </w:r>
          </w:p>
        </w:tc>
        <w:tc>
          <w:tcPr>
            <w:tcW w:w="1070" w:type="dxa"/>
            <w:noWrap/>
          </w:tcPr>
          <w:p w14:paraId="18885CD6" w14:textId="3F07936D" w:rsidR="001E20C1" w:rsidRPr="00C15B55" w:rsidRDefault="00895680" w:rsidP="00472522">
            <w:pPr>
              <w:pStyle w:val="Tabeludfyldningiret"/>
            </w:pPr>
            <w:r w:rsidRPr="00C15B55">
              <w:t>2.37</w:t>
            </w:r>
            <w:r w:rsidR="0048715D">
              <w:t>8</w:t>
            </w:r>
          </w:p>
        </w:tc>
      </w:tr>
      <w:tr w:rsidR="00C15B55" w:rsidRPr="00C15B55" w14:paraId="28F9CB14" w14:textId="77777777" w:rsidTr="00CE0839">
        <w:trPr>
          <w:trHeight w:val="284"/>
        </w:trPr>
        <w:tc>
          <w:tcPr>
            <w:tcW w:w="4795" w:type="dxa"/>
          </w:tcPr>
          <w:p w14:paraId="320BE918" w14:textId="30D86081" w:rsidR="001E20C1" w:rsidRPr="00ED3C82" w:rsidRDefault="001E20C1" w:rsidP="00ED3C82">
            <w:pPr>
              <w:pStyle w:val="Tabeludfyldningiret"/>
              <w:jc w:val="left"/>
            </w:pPr>
            <w:r w:rsidRPr="00ED3C82">
              <w:t>Finansieringsandel - tillæg vedr. udgiftsbehov</w:t>
            </w:r>
          </w:p>
        </w:tc>
        <w:tc>
          <w:tcPr>
            <w:tcW w:w="1070" w:type="dxa"/>
            <w:noWrap/>
          </w:tcPr>
          <w:p w14:paraId="0DFA18FC" w14:textId="6FE579FF" w:rsidR="001E20C1" w:rsidRPr="00C15B55" w:rsidRDefault="001E20C1" w:rsidP="00472522">
            <w:pPr>
              <w:pStyle w:val="Tabeludfyldningiret"/>
            </w:pPr>
            <w:r w:rsidRPr="00C15B55">
              <w:t>15</w:t>
            </w:r>
          </w:p>
        </w:tc>
        <w:tc>
          <w:tcPr>
            <w:tcW w:w="1070" w:type="dxa"/>
            <w:noWrap/>
          </w:tcPr>
          <w:p w14:paraId="4E9D382A" w14:textId="1D3642B4" w:rsidR="001E20C1" w:rsidRPr="00C15B55" w:rsidRDefault="00895680" w:rsidP="00472522">
            <w:pPr>
              <w:pStyle w:val="Tabeludfyldningiret"/>
            </w:pPr>
            <w:r w:rsidRPr="00C15B55">
              <w:t>17</w:t>
            </w:r>
          </w:p>
        </w:tc>
        <w:tc>
          <w:tcPr>
            <w:tcW w:w="1112" w:type="dxa"/>
            <w:noWrap/>
          </w:tcPr>
          <w:p w14:paraId="00807B14" w14:textId="04D58307" w:rsidR="001E20C1" w:rsidRPr="00C15B55" w:rsidRDefault="00895680" w:rsidP="00472522">
            <w:pPr>
              <w:pStyle w:val="Tabeludfyldningiret"/>
            </w:pPr>
            <w:r w:rsidRPr="00C15B55">
              <w:t>17</w:t>
            </w:r>
          </w:p>
        </w:tc>
        <w:tc>
          <w:tcPr>
            <w:tcW w:w="1112" w:type="dxa"/>
          </w:tcPr>
          <w:p w14:paraId="5BFE5D3F" w14:textId="66B79F9E" w:rsidR="001E20C1" w:rsidRPr="00C15B55" w:rsidRDefault="00895680" w:rsidP="00472522">
            <w:pPr>
              <w:pStyle w:val="Tabeludfyldningiret"/>
            </w:pPr>
            <w:r w:rsidRPr="00C15B55">
              <w:t>18</w:t>
            </w:r>
          </w:p>
        </w:tc>
        <w:tc>
          <w:tcPr>
            <w:tcW w:w="1070" w:type="dxa"/>
            <w:noWrap/>
          </w:tcPr>
          <w:p w14:paraId="484C0F75" w14:textId="4253946F" w:rsidR="001E20C1" w:rsidRPr="00C15B55" w:rsidRDefault="00895680" w:rsidP="00472522">
            <w:pPr>
              <w:pStyle w:val="Tabeludfyldningiret"/>
            </w:pPr>
            <w:r w:rsidRPr="00C15B55">
              <w:t>19</w:t>
            </w:r>
          </w:p>
        </w:tc>
      </w:tr>
      <w:tr w:rsidR="00C15B55" w:rsidRPr="00C15B55" w14:paraId="3ADE5C80" w14:textId="77777777" w:rsidTr="00CE0839">
        <w:trPr>
          <w:trHeight w:val="284"/>
        </w:trPr>
        <w:tc>
          <w:tcPr>
            <w:tcW w:w="4795" w:type="dxa"/>
          </w:tcPr>
          <w:p w14:paraId="1BF1552F" w14:textId="1591A3CE" w:rsidR="001E20C1" w:rsidRPr="00ED3C82" w:rsidRDefault="001E20C1" w:rsidP="00ED3C82">
            <w:pPr>
              <w:pStyle w:val="Tabeludfyldningiret"/>
              <w:jc w:val="left"/>
            </w:pPr>
            <w:r w:rsidRPr="00ED3C82">
              <w:t>Korrektion for overudligning</w:t>
            </w:r>
          </w:p>
        </w:tc>
        <w:tc>
          <w:tcPr>
            <w:tcW w:w="1070" w:type="dxa"/>
            <w:noWrap/>
          </w:tcPr>
          <w:p w14:paraId="145D9B95" w14:textId="23526898" w:rsidR="001E20C1" w:rsidRPr="00C15B55" w:rsidRDefault="001E20C1" w:rsidP="00472522">
            <w:pPr>
              <w:pStyle w:val="Tabeludfyldningiret"/>
            </w:pPr>
            <w:r w:rsidRPr="00C15B55">
              <w:t>16</w:t>
            </w:r>
          </w:p>
        </w:tc>
        <w:tc>
          <w:tcPr>
            <w:tcW w:w="1070" w:type="dxa"/>
            <w:noWrap/>
          </w:tcPr>
          <w:p w14:paraId="66265CBF" w14:textId="2E6B7009" w:rsidR="001E20C1" w:rsidRPr="00C15B55" w:rsidRDefault="00895680" w:rsidP="00472522">
            <w:pPr>
              <w:pStyle w:val="Tabeludfyldningiret"/>
            </w:pPr>
            <w:r w:rsidRPr="00C15B55">
              <w:t>19</w:t>
            </w:r>
          </w:p>
        </w:tc>
        <w:tc>
          <w:tcPr>
            <w:tcW w:w="1112" w:type="dxa"/>
            <w:noWrap/>
          </w:tcPr>
          <w:p w14:paraId="68C0FF60" w14:textId="56F7E66C" w:rsidR="001E20C1" w:rsidRPr="00C15B55" w:rsidRDefault="00895680" w:rsidP="00472522">
            <w:pPr>
              <w:pStyle w:val="Tabeludfyldningiret"/>
            </w:pPr>
            <w:r w:rsidRPr="00C15B55">
              <w:t>1</w:t>
            </w:r>
            <w:r w:rsidR="0048715D">
              <w:t>8</w:t>
            </w:r>
          </w:p>
        </w:tc>
        <w:tc>
          <w:tcPr>
            <w:tcW w:w="1112" w:type="dxa"/>
          </w:tcPr>
          <w:p w14:paraId="4F11E69B" w14:textId="7145E45C" w:rsidR="001E20C1" w:rsidRPr="00C15B55" w:rsidRDefault="00472522" w:rsidP="00472522">
            <w:pPr>
              <w:pStyle w:val="Tabeludfyldningiret"/>
            </w:pPr>
            <w:r>
              <w:t>19</w:t>
            </w:r>
          </w:p>
        </w:tc>
        <w:tc>
          <w:tcPr>
            <w:tcW w:w="1070" w:type="dxa"/>
            <w:noWrap/>
          </w:tcPr>
          <w:p w14:paraId="7CC8B540" w14:textId="110712BA" w:rsidR="001E20C1" w:rsidRPr="00C15B55" w:rsidRDefault="00895680" w:rsidP="00472522">
            <w:pPr>
              <w:pStyle w:val="Tabeludfyldningiret"/>
            </w:pPr>
            <w:r w:rsidRPr="00C15B55">
              <w:t>2</w:t>
            </w:r>
            <w:r w:rsidR="00472522">
              <w:t>0</w:t>
            </w:r>
          </w:p>
        </w:tc>
      </w:tr>
      <w:tr w:rsidR="00C15B55" w:rsidRPr="00C15B55" w14:paraId="0591BFA4" w14:textId="77777777" w:rsidTr="00CE0839">
        <w:trPr>
          <w:trHeight w:val="284"/>
        </w:trPr>
        <w:tc>
          <w:tcPr>
            <w:tcW w:w="4795" w:type="dxa"/>
          </w:tcPr>
          <w:p w14:paraId="2599BAFC" w14:textId="3C76694A" w:rsidR="001E20C1" w:rsidRPr="00ED3C82" w:rsidRDefault="001E20C1" w:rsidP="00ED3C82">
            <w:pPr>
              <w:pStyle w:val="Tabeludfyldningiret"/>
              <w:jc w:val="left"/>
            </w:pPr>
            <w:r w:rsidRPr="00ED3C82">
              <w:t>Særlig kompensation</w:t>
            </w:r>
          </w:p>
        </w:tc>
        <w:tc>
          <w:tcPr>
            <w:tcW w:w="1070" w:type="dxa"/>
            <w:noWrap/>
          </w:tcPr>
          <w:p w14:paraId="15A71B62" w14:textId="6B201918" w:rsidR="001E20C1" w:rsidRPr="00C15B55" w:rsidRDefault="001E20C1" w:rsidP="00472522">
            <w:pPr>
              <w:pStyle w:val="Tabeludfyldningiret"/>
            </w:pPr>
            <w:r w:rsidRPr="00C15B55">
              <w:t>82</w:t>
            </w:r>
          </w:p>
        </w:tc>
        <w:tc>
          <w:tcPr>
            <w:tcW w:w="1070" w:type="dxa"/>
            <w:noWrap/>
          </w:tcPr>
          <w:p w14:paraId="46D23D2B" w14:textId="02888199" w:rsidR="001E20C1" w:rsidRPr="00C15B55" w:rsidRDefault="00895680" w:rsidP="00472522">
            <w:pPr>
              <w:pStyle w:val="Tabeludfyldningiret"/>
            </w:pPr>
            <w:r w:rsidRPr="00C15B55">
              <w:t>82</w:t>
            </w:r>
          </w:p>
        </w:tc>
        <w:tc>
          <w:tcPr>
            <w:tcW w:w="1112" w:type="dxa"/>
            <w:noWrap/>
          </w:tcPr>
          <w:p w14:paraId="0A8167CD" w14:textId="3C1549DC" w:rsidR="001E20C1" w:rsidRPr="00C15B55" w:rsidRDefault="00895680" w:rsidP="00472522">
            <w:pPr>
              <w:pStyle w:val="Tabeludfyldningiret"/>
            </w:pPr>
            <w:r w:rsidRPr="00C15B55">
              <w:t>82</w:t>
            </w:r>
          </w:p>
        </w:tc>
        <w:tc>
          <w:tcPr>
            <w:tcW w:w="1112" w:type="dxa"/>
          </w:tcPr>
          <w:p w14:paraId="2177DA66" w14:textId="420A5324" w:rsidR="001E20C1" w:rsidRPr="00C15B55" w:rsidRDefault="00895680" w:rsidP="00472522">
            <w:pPr>
              <w:pStyle w:val="Tabeludfyldningiret"/>
            </w:pPr>
            <w:r w:rsidRPr="00C15B55">
              <w:t>82</w:t>
            </w:r>
          </w:p>
        </w:tc>
        <w:tc>
          <w:tcPr>
            <w:tcW w:w="1070" w:type="dxa"/>
            <w:noWrap/>
          </w:tcPr>
          <w:p w14:paraId="0E023401" w14:textId="6ADBA099" w:rsidR="001E20C1" w:rsidRPr="00C15B55" w:rsidRDefault="00895680" w:rsidP="00472522">
            <w:pPr>
              <w:pStyle w:val="Tabeludfyldningiret"/>
            </w:pPr>
            <w:r w:rsidRPr="00C15B55">
              <w:t>82</w:t>
            </w:r>
          </w:p>
        </w:tc>
      </w:tr>
      <w:tr w:rsidR="00C15B55" w:rsidRPr="00C15B55" w14:paraId="2D0ACA45" w14:textId="77777777" w:rsidTr="00CE0839">
        <w:trPr>
          <w:trHeight w:val="284"/>
        </w:trPr>
        <w:tc>
          <w:tcPr>
            <w:tcW w:w="4795" w:type="dxa"/>
          </w:tcPr>
          <w:p w14:paraId="497E6B62" w14:textId="58436F01" w:rsidR="001E20C1" w:rsidRPr="00ED3C82" w:rsidRDefault="001E20C1" w:rsidP="00ED3C82">
            <w:pPr>
              <w:pStyle w:val="Tabeludfyldningiret"/>
              <w:jc w:val="left"/>
            </w:pPr>
            <w:r w:rsidRPr="00ED3C82">
              <w:t>Bloktilskud</w:t>
            </w:r>
          </w:p>
        </w:tc>
        <w:tc>
          <w:tcPr>
            <w:tcW w:w="1070" w:type="dxa"/>
            <w:noWrap/>
          </w:tcPr>
          <w:p w14:paraId="11EA6CCA" w14:textId="599D4A59" w:rsidR="001E20C1" w:rsidRPr="00C15B55" w:rsidRDefault="001E20C1" w:rsidP="00472522">
            <w:pPr>
              <w:pStyle w:val="Tabeludfyldningiret"/>
            </w:pPr>
            <w:r w:rsidRPr="00C15B55">
              <w:t>-</w:t>
            </w:r>
            <w:r w:rsidR="00472522">
              <w:t>5</w:t>
            </w:r>
            <w:r w:rsidRPr="00C15B55">
              <w:t>.</w:t>
            </w:r>
            <w:r w:rsidR="00472522">
              <w:t>264</w:t>
            </w:r>
          </w:p>
        </w:tc>
        <w:tc>
          <w:tcPr>
            <w:tcW w:w="1070" w:type="dxa"/>
            <w:noWrap/>
          </w:tcPr>
          <w:p w14:paraId="695C4138" w14:textId="540ED9C9" w:rsidR="001E20C1" w:rsidRPr="00C15B55" w:rsidRDefault="00895680" w:rsidP="00472522">
            <w:pPr>
              <w:pStyle w:val="Tabeludfyldningiret"/>
            </w:pPr>
            <w:r w:rsidRPr="00C15B55">
              <w:t>-</w:t>
            </w:r>
            <w:r w:rsidR="00472522">
              <w:t>5.184</w:t>
            </w:r>
          </w:p>
        </w:tc>
        <w:tc>
          <w:tcPr>
            <w:tcW w:w="1112" w:type="dxa"/>
            <w:noWrap/>
          </w:tcPr>
          <w:p w14:paraId="133EF842" w14:textId="33F55DA5" w:rsidR="001E20C1" w:rsidRPr="00C15B55" w:rsidRDefault="00895680" w:rsidP="00472522">
            <w:pPr>
              <w:pStyle w:val="Tabeludfyldningiret"/>
            </w:pPr>
            <w:r w:rsidRPr="00C15B55">
              <w:t>-</w:t>
            </w:r>
            <w:r w:rsidR="00472522">
              <w:t>4.662</w:t>
            </w:r>
          </w:p>
        </w:tc>
        <w:tc>
          <w:tcPr>
            <w:tcW w:w="1112" w:type="dxa"/>
          </w:tcPr>
          <w:p w14:paraId="71C6B991" w14:textId="3AB2F8CA" w:rsidR="001E20C1" w:rsidRPr="00C15B55" w:rsidRDefault="00895680" w:rsidP="00472522">
            <w:pPr>
              <w:pStyle w:val="Tabeludfyldningiret"/>
            </w:pPr>
            <w:r w:rsidRPr="00C15B55">
              <w:t>-</w:t>
            </w:r>
            <w:r w:rsidR="00472522">
              <w:t>5.150</w:t>
            </w:r>
          </w:p>
        </w:tc>
        <w:tc>
          <w:tcPr>
            <w:tcW w:w="1070" w:type="dxa"/>
            <w:noWrap/>
          </w:tcPr>
          <w:p w14:paraId="6FC9D55A" w14:textId="0E313BD0" w:rsidR="001E20C1" w:rsidRPr="00C15B55" w:rsidRDefault="00895680" w:rsidP="00472522">
            <w:pPr>
              <w:pStyle w:val="Tabeludfyldningiret"/>
            </w:pPr>
            <w:r w:rsidRPr="00C15B55">
              <w:t>-5.</w:t>
            </w:r>
            <w:r w:rsidR="00472522">
              <w:t>601</w:t>
            </w:r>
          </w:p>
        </w:tc>
      </w:tr>
      <w:tr w:rsidR="00C15B55" w:rsidRPr="00C15B55" w14:paraId="34E4F55B" w14:textId="77777777" w:rsidTr="00CE0839">
        <w:trPr>
          <w:trHeight w:val="284"/>
        </w:trPr>
        <w:tc>
          <w:tcPr>
            <w:tcW w:w="4795" w:type="dxa"/>
          </w:tcPr>
          <w:p w14:paraId="11FE7430" w14:textId="4FAE2A26" w:rsidR="001E20C1" w:rsidRPr="00ED3C82" w:rsidRDefault="001E20C1" w:rsidP="00ED3C82">
            <w:pPr>
              <w:pStyle w:val="Tabeludfyldningiret"/>
              <w:jc w:val="left"/>
            </w:pPr>
            <w:r w:rsidRPr="00ED3C82">
              <w:t>- heraf betinget vedr. service</w:t>
            </w:r>
          </w:p>
        </w:tc>
        <w:tc>
          <w:tcPr>
            <w:tcW w:w="1070" w:type="dxa"/>
            <w:noWrap/>
          </w:tcPr>
          <w:p w14:paraId="69BC14F9" w14:textId="39BA0CD3" w:rsidR="001E20C1" w:rsidRPr="00C15B55" w:rsidRDefault="001E20C1" w:rsidP="00472522">
            <w:pPr>
              <w:pStyle w:val="Tabeludfyldningiret"/>
            </w:pPr>
            <w:r w:rsidRPr="00C15B55">
              <w:t>-186</w:t>
            </w:r>
          </w:p>
        </w:tc>
        <w:tc>
          <w:tcPr>
            <w:tcW w:w="1070" w:type="dxa"/>
            <w:noWrap/>
          </w:tcPr>
          <w:p w14:paraId="6F7D95DB" w14:textId="49A22BEC" w:rsidR="001E20C1" w:rsidRPr="00C15B55" w:rsidRDefault="00895680" w:rsidP="00472522">
            <w:pPr>
              <w:pStyle w:val="Tabeludfyldningiret"/>
            </w:pPr>
            <w:r w:rsidRPr="00C15B55">
              <w:t>-188</w:t>
            </w:r>
          </w:p>
        </w:tc>
        <w:tc>
          <w:tcPr>
            <w:tcW w:w="1112" w:type="dxa"/>
            <w:noWrap/>
          </w:tcPr>
          <w:p w14:paraId="3FEAE6FF" w14:textId="7B94EDC5" w:rsidR="001E20C1" w:rsidRPr="00C15B55" w:rsidRDefault="00895680" w:rsidP="00472522">
            <w:pPr>
              <w:pStyle w:val="Tabeludfyldningiret"/>
            </w:pPr>
            <w:r w:rsidRPr="00C15B55">
              <w:t>-190</w:t>
            </w:r>
          </w:p>
        </w:tc>
        <w:tc>
          <w:tcPr>
            <w:tcW w:w="1112" w:type="dxa"/>
          </w:tcPr>
          <w:p w14:paraId="31ACA8F8" w14:textId="473D6B89" w:rsidR="001E20C1" w:rsidRPr="00C15B55" w:rsidRDefault="00895680" w:rsidP="00472522">
            <w:pPr>
              <w:pStyle w:val="Tabeludfyldningiret"/>
            </w:pPr>
            <w:r w:rsidRPr="00C15B55">
              <w:t>-19</w:t>
            </w:r>
            <w:r w:rsidR="00472522">
              <w:t>2</w:t>
            </w:r>
          </w:p>
        </w:tc>
        <w:tc>
          <w:tcPr>
            <w:tcW w:w="1070" w:type="dxa"/>
            <w:noWrap/>
          </w:tcPr>
          <w:p w14:paraId="47DAEDE3" w14:textId="689C3542" w:rsidR="001E20C1" w:rsidRPr="00C15B55" w:rsidRDefault="00895680" w:rsidP="00472522">
            <w:pPr>
              <w:pStyle w:val="Tabeludfyldningiret"/>
            </w:pPr>
            <w:r w:rsidRPr="00C15B55">
              <w:t>-194</w:t>
            </w:r>
          </w:p>
        </w:tc>
      </w:tr>
      <w:tr w:rsidR="00C15B55" w:rsidRPr="00C15B55" w14:paraId="5E71F8CD" w14:textId="77777777" w:rsidTr="00CE0839">
        <w:trPr>
          <w:trHeight w:val="284"/>
        </w:trPr>
        <w:tc>
          <w:tcPr>
            <w:tcW w:w="4795" w:type="dxa"/>
          </w:tcPr>
          <w:p w14:paraId="4EA5805F" w14:textId="6793DD87" w:rsidR="001E20C1" w:rsidRPr="00ED3C82" w:rsidRDefault="001E20C1" w:rsidP="00ED3C82">
            <w:pPr>
              <w:pStyle w:val="Tabeludfyldningiret"/>
              <w:jc w:val="left"/>
            </w:pPr>
            <w:r w:rsidRPr="00ED3C82">
              <w:t>- heraf betinget vedr. anlæg</w:t>
            </w:r>
          </w:p>
        </w:tc>
        <w:tc>
          <w:tcPr>
            <w:tcW w:w="1070" w:type="dxa"/>
            <w:noWrap/>
          </w:tcPr>
          <w:p w14:paraId="3E3A8DF6" w14:textId="367F7204" w:rsidR="001E20C1" w:rsidRPr="00C15B55" w:rsidRDefault="001E20C1" w:rsidP="00472522">
            <w:pPr>
              <w:pStyle w:val="Tabeludfyldningiret"/>
            </w:pPr>
            <w:r w:rsidRPr="00C15B55">
              <w:t>-62</w:t>
            </w:r>
          </w:p>
        </w:tc>
        <w:tc>
          <w:tcPr>
            <w:tcW w:w="1070" w:type="dxa"/>
            <w:noWrap/>
          </w:tcPr>
          <w:p w14:paraId="6764DAD9" w14:textId="115D2A97" w:rsidR="001E20C1" w:rsidRPr="00C15B55" w:rsidRDefault="00895680" w:rsidP="00472522">
            <w:pPr>
              <w:pStyle w:val="Tabeludfyldningiret"/>
            </w:pPr>
            <w:r w:rsidRPr="00C15B55">
              <w:t>-63</w:t>
            </w:r>
          </w:p>
        </w:tc>
        <w:tc>
          <w:tcPr>
            <w:tcW w:w="1112" w:type="dxa"/>
            <w:noWrap/>
          </w:tcPr>
          <w:p w14:paraId="232CB7C9" w14:textId="2A65D06F" w:rsidR="001E20C1" w:rsidRPr="00C15B55" w:rsidRDefault="00895680" w:rsidP="00472522">
            <w:pPr>
              <w:pStyle w:val="Tabeludfyldningiret"/>
            </w:pPr>
            <w:r w:rsidRPr="00C15B55">
              <w:t>-63</w:t>
            </w:r>
          </w:p>
        </w:tc>
        <w:tc>
          <w:tcPr>
            <w:tcW w:w="1112" w:type="dxa"/>
          </w:tcPr>
          <w:p w14:paraId="059364A7" w14:textId="45B135FA" w:rsidR="001E20C1" w:rsidRPr="00C15B55" w:rsidRDefault="00895680" w:rsidP="00472522">
            <w:pPr>
              <w:pStyle w:val="Tabeludfyldningiret"/>
            </w:pPr>
            <w:r w:rsidRPr="00C15B55">
              <w:t>-64</w:t>
            </w:r>
          </w:p>
        </w:tc>
        <w:tc>
          <w:tcPr>
            <w:tcW w:w="1070" w:type="dxa"/>
            <w:noWrap/>
          </w:tcPr>
          <w:p w14:paraId="02890ADA" w14:textId="28DFFBD3" w:rsidR="001E20C1" w:rsidRPr="00C15B55" w:rsidRDefault="00895680" w:rsidP="00472522">
            <w:pPr>
              <w:pStyle w:val="Tabeludfyldningiret"/>
            </w:pPr>
            <w:r w:rsidRPr="00C15B55">
              <w:t>-65</w:t>
            </w:r>
          </w:p>
        </w:tc>
      </w:tr>
      <w:tr w:rsidR="00C15B55" w:rsidRPr="00C15B55" w14:paraId="32B39EDE" w14:textId="77777777" w:rsidTr="00CE0839">
        <w:trPr>
          <w:trHeight w:val="284"/>
        </w:trPr>
        <w:tc>
          <w:tcPr>
            <w:tcW w:w="4795" w:type="dxa"/>
          </w:tcPr>
          <w:p w14:paraId="5562C5BD" w14:textId="2EA66933" w:rsidR="001E20C1" w:rsidRPr="00ED3C82" w:rsidRDefault="001E20C1" w:rsidP="00ED3C82">
            <w:pPr>
              <w:pStyle w:val="Tabeludfyldningiret"/>
              <w:jc w:val="left"/>
            </w:pPr>
            <w:r w:rsidRPr="00ED3C82">
              <w:t>- heraf egne korrektioner</w:t>
            </w:r>
          </w:p>
        </w:tc>
        <w:tc>
          <w:tcPr>
            <w:tcW w:w="1070" w:type="dxa"/>
            <w:noWrap/>
          </w:tcPr>
          <w:p w14:paraId="4948B867" w14:textId="4734E1B3" w:rsidR="001E20C1" w:rsidRPr="00C15B55" w:rsidRDefault="00472522" w:rsidP="00472522">
            <w:pPr>
              <w:pStyle w:val="Tabeludfyldningiret"/>
            </w:pPr>
            <w:r>
              <w:t>0</w:t>
            </w:r>
          </w:p>
        </w:tc>
        <w:tc>
          <w:tcPr>
            <w:tcW w:w="1070" w:type="dxa"/>
            <w:noWrap/>
          </w:tcPr>
          <w:p w14:paraId="05D731F8" w14:textId="7AB59A9C" w:rsidR="001E20C1" w:rsidRPr="00C15B55" w:rsidRDefault="00472522" w:rsidP="00472522">
            <w:pPr>
              <w:pStyle w:val="Tabeludfyldningiret"/>
            </w:pPr>
            <w:r>
              <w:t>-9</w:t>
            </w:r>
          </w:p>
        </w:tc>
        <w:tc>
          <w:tcPr>
            <w:tcW w:w="1112" w:type="dxa"/>
            <w:noWrap/>
          </w:tcPr>
          <w:p w14:paraId="2BA4B5CF" w14:textId="17EF0F93" w:rsidR="001E20C1" w:rsidRPr="00C15B55" w:rsidRDefault="00472522" w:rsidP="00472522">
            <w:pPr>
              <w:pStyle w:val="Tabeludfyldningiret"/>
            </w:pPr>
            <w:r>
              <w:t>136</w:t>
            </w:r>
          </w:p>
        </w:tc>
        <w:tc>
          <w:tcPr>
            <w:tcW w:w="1112" w:type="dxa"/>
          </w:tcPr>
          <w:p w14:paraId="68DFA14F" w14:textId="6E081478" w:rsidR="001E20C1" w:rsidRPr="00C15B55" w:rsidRDefault="00895680" w:rsidP="00472522">
            <w:pPr>
              <w:pStyle w:val="Tabeludfyldningiret"/>
            </w:pPr>
            <w:r w:rsidRPr="00C15B55">
              <w:t>133</w:t>
            </w:r>
          </w:p>
        </w:tc>
        <w:tc>
          <w:tcPr>
            <w:tcW w:w="1070" w:type="dxa"/>
            <w:noWrap/>
          </w:tcPr>
          <w:p w14:paraId="663C4F1B" w14:textId="4618FA0C" w:rsidR="001E20C1" w:rsidRPr="00C15B55" w:rsidRDefault="00895680" w:rsidP="00472522">
            <w:pPr>
              <w:pStyle w:val="Tabeludfyldningiret"/>
            </w:pPr>
            <w:r w:rsidRPr="00C15B55">
              <w:t>4</w:t>
            </w:r>
            <w:r w:rsidR="00472522">
              <w:t>7</w:t>
            </w:r>
          </w:p>
        </w:tc>
      </w:tr>
      <w:tr w:rsidR="00C15B55" w:rsidRPr="00C15B55" w14:paraId="2DDBFDA4" w14:textId="77777777" w:rsidTr="00CE0839">
        <w:trPr>
          <w:trHeight w:val="284"/>
        </w:trPr>
        <w:tc>
          <w:tcPr>
            <w:tcW w:w="4795" w:type="dxa"/>
          </w:tcPr>
          <w:p w14:paraId="2FE27F3E" w14:textId="411E853F" w:rsidR="001E20C1" w:rsidRPr="00ED3C82" w:rsidRDefault="001E20C1" w:rsidP="00ED3C82">
            <w:pPr>
              <w:pStyle w:val="Tabeludfyldningiret"/>
              <w:jc w:val="left"/>
            </w:pPr>
            <w:r w:rsidRPr="00ED3C82">
              <w:t>Efterreguleringer - tidligere år</w:t>
            </w:r>
          </w:p>
        </w:tc>
        <w:tc>
          <w:tcPr>
            <w:tcW w:w="1070" w:type="dxa"/>
            <w:noWrap/>
          </w:tcPr>
          <w:p w14:paraId="1F384A23" w14:textId="7B5A2FB8" w:rsidR="001E20C1" w:rsidRPr="00C15B55" w:rsidRDefault="001E20C1" w:rsidP="00472522">
            <w:pPr>
              <w:pStyle w:val="Tabeludfyldningiret"/>
            </w:pPr>
            <w:r w:rsidRPr="00C15B55">
              <w:t>-37</w:t>
            </w:r>
          </w:p>
        </w:tc>
        <w:tc>
          <w:tcPr>
            <w:tcW w:w="1070" w:type="dxa"/>
            <w:noWrap/>
          </w:tcPr>
          <w:p w14:paraId="4D80E7AC" w14:textId="38F1222B" w:rsidR="001E20C1" w:rsidRPr="00C15B55" w:rsidRDefault="00895680" w:rsidP="00472522">
            <w:pPr>
              <w:pStyle w:val="Tabeludfyldningiret"/>
            </w:pPr>
            <w:r w:rsidRPr="00C15B55">
              <w:t>-37</w:t>
            </w:r>
          </w:p>
        </w:tc>
        <w:tc>
          <w:tcPr>
            <w:tcW w:w="1112" w:type="dxa"/>
            <w:noWrap/>
          </w:tcPr>
          <w:p w14:paraId="65448BD9" w14:textId="68495B1F" w:rsidR="001E20C1" w:rsidRPr="00C15B55" w:rsidRDefault="00895680" w:rsidP="00472522">
            <w:pPr>
              <w:pStyle w:val="Tabeludfyldningiret"/>
            </w:pPr>
            <w:r w:rsidRPr="00C15B55">
              <w:t>-59</w:t>
            </w:r>
            <w:r w:rsidR="00472522">
              <w:t>5</w:t>
            </w:r>
          </w:p>
        </w:tc>
        <w:tc>
          <w:tcPr>
            <w:tcW w:w="1112" w:type="dxa"/>
          </w:tcPr>
          <w:p w14:paraId="11B5DFEC" w14:textId="60543ECA" w:rsidR="001E20C1" w:rsidRPr="00C15B55" w:rsidRDefault="00895680" w:rsidP="00472522">
            <w:pPr>
              <w:pStyle w:val="Tabeludfyldningiret"/>
            </w:pPr>
            <w:r w:rsidRPr="00C15B55">
              <w:t>-23</w:t>
            </w:r>
            <w:r w:rsidR="00472522">
              <w:t>1</w:t>
            </w:r>
          </w:p>
        </w:tc>
        <w:tc>
          <w:tcPr>
            <w:tcW w:w="1070" w:type="dxa"/>
            <w:noWrap/>
          </w:tcPr>
          <w:p w14:paraId="095C1D48" w14:textId="58E89E44" w:rsidR="001E20C1" w:rsidRPr="00C15B55" w:rsidRDefault="00472522" w:rsidP="00472522">
            <w:pPr>
              <w:pStyle w:val="Tabeludfyldningiret"/>
            </w:pPr>
            <w:r>
              <w:t>6</w:t>
            </w:r>
          </w:p>
        </w:tc>
      </w:tr>
      <w:tr w:rsidR="00C15B55" w:rsidRPr="00C15B55" w14:paraId="1D507F4B" w14:textId="77777777" w:rsidTr="00CE0839">
        <w:trPr>
          <w:trHeight w:val="284"/>
        </w:trPr>
        <w:tc>
          <w:tcPr>
            <w:tcW w:w="4795" w:type="dxa"/>
          </w:tcPr>
          <w:p w14:paraId="6B9E560A" w14:textId="4AEA92CF" w:rsidR="001E20C1" w:rsidRPr="00ED3C82" w:rsidRDefault="001E20C1" w:rsidP="00ED3C82">
            <w:pPr>
              <w:pStyle w:val="Tabeludfyldningiret"/>
              <w:jc w:val="left"/>
            </w:pPr>
            <w:r w:rsidRPr="00ED3C82">
              <w:t>Udligning af selskabsskat</w:t>
            </w:r>
          </w:p>
        </w:tc>
        <w:tc>
          <w:tcPr>
            <w:tcW w:w="1070" w:type="dxa"/>
            <w:noWrap/>
          </w:tcPr>
          <w:p w14:paraId="3457B931" w14:textId="7F78DC95" w:rsidR="001E20C1" w:rsidRPr="00C15B55" w:rsidRDefault="001E20C1" w:rsidP="00472522">
            <w:pPr>
              <w:pStyle w:val="Tabeludfyldningiret"/>
            </w:pPr>
            <w:r w:rsidRPr="00C15B55">
              <w:t>570</w:t>
            </w:r>
          </w:p>
        </w:tc>
        <w:tc>
          <w:tcPr>
            <w:tcW w:w="1070" w:type="dxa"/>
            <w:noWrap/>
          </w:tcPr>
          <w:p w14:paraId="24685482" w14:textId="358416B2" w:rsidR="001E20C1" w:rsidRPr="00C15B55" w:rsidRDefault="00895680" w:rsidP="00472522">
            <w:pPr>
              <w:pStyle w:val="Tabeludfyldningiret"/>
            </w:pPr>
            <w:r w:rsidRPr="00C15B55">
              <w:t>12</w:t>
            </w:r>
          </w:p>
        </w:tc>
        <w:tc>
          <w:tcPr>
            <w:tcW w:w="1112" w:type="dxa"/>
            <w:noWrap/>
          </w:tcPr>
          <w:p w14:paraId="517ED28C" w14:textId="7D1A050B" w:rsidR="001E20C1" w:rsidRPr="00C15B55" w:rsidRDefault="00895680" w:rsidP="00472522">
            <w:pPr>
              <w:pStyle w:val="Tabeludfyldningiret"/>
            </w:pPr>
            <w:r w:rsidRPr="00C15B55">
              <w:t>-15</w:t>
            </w:r>
          </w:p>
        </w:tc>
        <w:tc>
          <w:tcPr>
            <w:tcW w:w="1112" w:type="dxa"/>
          </w:tcPr>
          <w:p w14:paraId="09601E1A" w14:textId="1C03D6DF" w:rsidR="001E20C1" w:rsidRPr="00C15B55" w:rsidRDefault="00895680" w:rsidP="00472522">
            <w:pPr>
              <w:pStyle w:val="Tabeludfyldningiret"/>
            </w:pPr>
            <w:r w:rsidRPr="00C15B55">
              <w:t>-2</w:t>
            </w:r>
            <w:r w:rsidR="00472522">
              <w:t>1</w:t>
            </w:r>
          </w:p>
        </w:tc>
        <w:tc>
          <w:tcPr>
            <w:tcW w:w="1070" w:type="dxa"/>
            <w:noWrap/>
          </w:tcPr>
          <w:p w14:paraId="476F8BBC" w14:textId="261F0B30" w:rsidR="001E20C1" w:rsidRPr="00C15B55" w:rsidRDefault="00895680" w:rsidP="00472522">
            <w:pPr>
              <w:pStyle w:val="Tabeludfyldningiret"/>
            </w:pPr>
            <w:r w:rsidRPr="00C15B55">
              <w:t>-2</w:t>
            </w:r>
            <w:r w:rsidR="00472522">
              <w:t>7</w:t>
            </w:r>
          </w:p>
        </w:tc>
      </w:tr>
      <w:tr w:rsidR="00C15B55" w:rsidRPr="00C15B55" w14:paraId="4521A6E9" w14:textId="77777777" w:rsidTr="00CE0839">
        <w:trPr>
          <w:trHeight w:val="284"/>
        </w:trPr>
        <w:tc>
          <w:tcPr>
            <w:tcW w:w="4795" w:type="dxa"/>
          </w:tcPr>
          <w:p w14:paraId="2FCC4C89" w14:textId="3CBC37D4" w:rsidR="001E20C1" w:rsidRPr="00ED3C82" w:rsidRDefault="001E20C1" w:rsidP="00ED3C82">
            <w:pPr>
              <w:pStyle w:val="Tabeludfyldningiret"/>
              <w:jc w:val="left"/>
            </w:pPr>
            <w:r w:rsidRPr="00ED3C82">
              <w:t>Udligning af dækningsafgift vedr. offentlige ejendomme</w:t>
            </w:r>
          </w:p>
        </w:tc>
        <w:tc>
          <w:tcPr>
            <w:tcW w:w="1070" w:type="dxa"/>
            <w:noWrap/>
          </w:tcPr>
          <w:p w14:paraId="4BA10075" w14:textId="2B52DC35" w:rsidR="001E20C1" w:rsidRPr="00C15B55" w:rsidRDefault="001E20C1" w:rsidP="00472522">
            <w:pPr>
              <w:pStyle w:val="Tabeludfyldningiret"/>
            </w:pPr>
            <w:r w:rsidRPr="00C15B55">
              <w:t>8</w:t>
            </w:r>
          </w:p>
        </w:tc>
        <w:tc>
          <w:tcPr>
            <w:tcW w:w="1070" w:type="dxa"/>
            <w:noWrap/>
          </w:tcPr>
          <w:p w14:paraId="7A9B566D" w14:textId="47F9D26F" w:rsidR="001E20C1" w:rsidRPr="00C15B55" w:rsidRDefault="00895680" w:rsidP="00472522">
            <w:pPr>
              <w:pStyle w:val="Tabeludfyldningiret"/>
            </w:pPr>
            <w:r w:rsidRPr="00C15B55">
              <w:t>9</w:t>
            </w:r>
          </w:p>
        </w:tc>
        <w:tc>
          <w:tcPr>
            <w:tcW w:w="1112" w:type="dxa"/>
            <w:noWrap/>
          </w:tcPr>
          <w:p w14:paraId="344F9034" w14:textId="7FC20666" w:rsidR="001E20C1" w:rsidRPr="00C15B55" w:rsidRDefault="00895680" w:rsidP="00472522">
            <w:pPr>
              <w:pStyle w:val="Tabeludfyldningiret"/>
            </w:pPr>
            <w:r w:rsidRPr="00C15B55">
              <w:t>8</w:t>
            </w:r>
          </w:p>
        </w:tc>
        <w:tc>
          <w:tcPr>
            <w:tcW w:w="1112" w:type="dxa"/>
          </w:tcPr>
          <w:p w14:paraId="6B5BF76D" w14:textId="128D4741" w:rsidR="001E20C1" w:rsidRPr="00C15B55" w:rsidRDefault="00895680" w:rsidP="00472522">
            <w:pPr>
              <w:pStyle w:val="Tabeludfyldningiret"/>
            </w:pPr>
            <w:r w:rsidRPr="00C15B55">
              <w:t>8</w:t>
            </w:r>
          </w:p>
        </w:tc>
        <w:tc>
          <w:tcPr>
            <w:tcW w:w="1070" w:type="dxa"/>
            <w:noWrap/>
          </w:tcPr>
          <w:p w14:paraId="422FF6F3" w14:textId="57E21557" w:rsidR="001E20C1" w:rsidRPr="00C15B55" w:rsidRDefault="00895680" w:rsidP="00472522">
            <w:pPr>
              <w:pStyle w:val="Tabeludfyldningiret"/>
            </w:pPr>
            <w:r w:rsidRPr="00C15B55">
              <w:t>8</w:t>
            </w:r>
          </w:p>
        </w:tc>
      </w:tr>
      <w:tr w:rsidR="00C15B55" w:rsidRPr="00C15B55" w14:paraId="685A3659" w14:textId="77777777" w:rsidTr="00CE0839">
        <w:trPr>
          <w:trHeight w:val="284"/>
        </w:trPr>
        <w:tc>
          <w:tcPr>
            <w:tcW w:w="4795" w:type="dxa"/>
          </w:tcPr>
          <w:p w14:paraId="34302B7A" w14:textId="6736D035" w:rsidR="001E20C1" w:rsidRPr="00ED3C82" w:rsidRDefault="001E20C1" w:rsidP="00ED3C82">
            <w:pPr>
              <w:pStyle w:val="Tabeludfyldningiret"/>
              <w:jc w:val="left"/>
            </w:pPr>
            <w:r w:rsidRPr="00ED3C82">
              <w:t>Udlændingeudligning</w:t>
            </w:r>
          </w:p>
        </w:tc>
        <w:tc>
          <w:tcPr>
            <w:tcW w:w="1070" w:type="dxa"/>
            <w:noWrap/>
          </w:tcPr>
          <w:p w14:paraId="3700A8E2" w14:textId="5C2C8609" w:rsidR="001E20C1" w:rsidRPr="00C15B55" w:rsidRDefault="001E20C1" w:rsidP="00472522">
            <w:pPr>
              <w:pStyle w:val="Tabeludfyldningiret"/>
            </w:pPr>
            <w:r w:rsidRPr="00C15B55">
              <w:t>-26</w:t>
            </w:r>
          </w:p>
        </w:tc>
        <w:tc>
          <w:tcPr>
            <w:tcW w:w="1070" w:type="dxa"/>
            <w:noWrap/>
          </w:tcPr>
          <w:p w14:paraId="2F5BBD78" w14:textId="362629A3" w:rsidR="001E20C1" w:rsidRPr="00C15B55" w:rsidRDefault="00895680" w:rsidP="00472522">
            <w:pPr>
              <w:pStyle w:val="Tabeludfyldningiret"/>
            </w:pPr>
            <w:r w:rsidRPr="00C15B55">
              <w:t>-27</w:t>
            </w:r>
          </w:p>
        </w:tc>
        <w:tc>
          <w:tcPr>
            <w:tcW w:w="1112" w:type="dxa"/>
            <w:noWrap/>
          </w:tcPr>
          <w:p w14:paraId="6D80767D" w14:textId="28FAF35B" w:rsidR="001E20C1" w:rsidRPr="00C15B55" w:rsidRDefault="00895680" w:rsidP="00472522">
            <w:pPr>
              <w:pStyle w:val="Tabeludfyldningiret"/>
            </w:pPr>
            <w:r w:rsidRPr="00C15B55">
              <w:t>-25</w:t>
            </w:r>
          </w:p>
        </w:tc>
        <w:tc>
          <w:tcPr>
            <w:tcW w:w="1112" w:type="dxa"/>
          </w:tcPr>
          <w:p w14:paraId="744E87B4" w14:textId="58F7AA8F" w:rsidR="001E20C1" w:rsidRPr="00C15B55" w:rsidRDefault="00895680" w:rsidP="00472522">
            <w:pPr>
              <w:pStyle w:val="Tabeludfyldningiret"/>
            </w:pPr>
            <w:r w:rsidRPr="00C15B55">
              <w:t>-23</w:t>
            </w:r>
          </w:p>
        </w:tc>
        <w:tc>
          <w:tcPr>
            <w:tcW w:w="1070" w:type="dxa"/>
            <w:noWrap/>
          </w:tcPr>
          <w:p w14:paraId="03B8EC9F" w14:textId="05027F69" w:rsidR="001E20C1" w:rsidRPr="00C15B55" w:rsidRDefault="00895680" w:rsidP="00472522">
            <w:pPr>
              <w:pStyle w:val="Tabeludfyldningiret"/>
            </w:pPr>
            <w:r w:rsidRPr="00C15B55">
              <w:t>-21</w:t>
            </w:r>
          </w:p>
        </w:tc>
      </w:tr>
      <w:tr w:rsidR="00C15B55" w:rsidRPr="00C15B55" w14:paraId="27589F66" w14:textId="77777777" w:rsidTr="00CE0839">
        <w:trPr>
          <w:trHeight w:val="284"/>
        </w:trPr>
        <w:tc>
          <w:tcPr>
            <w:tcW w:w="4795" w:type="dxa"/>
          </w:tcPr>
          <w:p w14:paraId="67E3E313" w14:textId="7F611DC5" w:rsidR="001E20C1" w:rsidRPr="00ED3C82" w:rsidRDefault="001E20C1" w:rsidP="00ED3C82">
            <w:pPr>
              <w:pStyle w:val="Tabeludfyldningiret"/>
              <w:jc w:val="left"/>
            </w:pPr>
          </w:p>
        </w:tc>
        <w:tc>
          <w:tcPr>
            <w:tcW w:w="1070" w:type="dxa"/>
            <w:noWrap/>
          </w:tcPr>
          <w:p w14:paraId="2C8B3B93" w14:textId="77777777" w:rsidR="001E20C1" w:rsidRPr="00C15B55" w:rsidRDefault="001E20C1" w:rsidP="001E20C1">
            <w:pPr>
              <w:pStyle w:val="Tabeludfyldningiret"/>
              <w:rPr>
                <w:color w:val="FF0000"/>
              </w:rPr>
            </w:pPr>
          </w:p>
        </w:tc>
        <w:tc>
          <w:tcPr>
            <w:tcW w:w="1070" w:type="dxa"/>
            <w:noWrap/>
          </w:tcPr>
          <w:p w14:paraId="747950EA" w14:textId="0BDC11BD" w:rsidR="001E20C1" w:rsidRPr="00C15B55" w:rsidRDefault="001E20C1" w:rsidP="001E20C1">
            <w:pPr>
              <w:pStyle w:val="Tabeludfyldningiret"/>
              <w:rPr>
                <w:color w:val="FF0000"/>
              </w:rPr>
            </w:pPr>
          </w:p>
        </w:tc>
        <w:tc>
          <w:tcPr>
            <w:tcW w:w="1112" w:type="dxa"/>
            <w:noWrap/>
          </w:tcPr>
          <w:p w14:paraId="6D220B07" w14:textId="34506915" w:rsidR="001E20C1" w:rsidRPr="00C15B55" w:rsidRDefault="001E20C1" w:rsidP="001E20C1">
            <w:pPr>
              <w:pStyle w:val="Tabeludfyldningiret"/>
              <w:rPr>
                <w:color w:val="FF0000"/>
              </w:rPr>
            </w:pPr>
          </w:p>
        </w:tc>
        <w:tc>
          <w:tcPr>
            <w:tcW w:w="1112" w:type="dxa"/>
          </w:tcPr>
          <w:p w14:paraId="4E0E0CA5" w14:textId="7E8AF7C6" w:rsidR="001E20C1" w:rsidRPr="00C15B55" w:rsidRDefault="001E20C1" w:rsidP="001E20C1">
            <w:pPr>
              <w:pStyle w:val="Tabeludfyldningiret"/>
              <w:rPr>
                <w:color w:val="FF0000"/>
              </w:rPr>
            </w:pPr>
          </w:p>
        </w:tc>
        <w:tc>
          <w:tcPr>
            <w:tcW w:w="1070" w:type="dxa"/>
            <w:noWrap/>
          </w:tcPr>
          <w:p w14:paraId="0C07EE96" w14:textId="4298E4B6" w:rsidR="001E20C1" w:rsidRPr="00C15B55" w:rsidRDefault="001E20C1" w:rsidP="001E20C1">
            <w:pPr>
              <w:pStyle w:val="Tabeludfyldningiret"/>
              <w:rPr>
                <w:color w:val="FF0000"/>
              </w:rPr>
            </w:pPr>
          </w:p>
        </w:tc>
      </w:tr>
      <w:tr w:rsidR="00C15B55" w:rsidRPr="00C15B55" w14:paraId="4012F471" w14:textId="77777777" w:rsidTr="00CE0839">
        <w:trPr>
          <w:trHeight w:val="284"/>
        </w:trPr>
        <w:tc>
          <w:tcPr>
            <w:tcW w:w="4795" w:type="dxa"/>
          </w:tcPr>
          <w:p w14:paraId="0DE7DAA8" w14:textId="6E3D5493" w:rsidR="001E20C1" w:rsidRPr="00ED3C82" w:rsidRDefault="001E20C1" w:rsidP="00ED3C82">
            <w:pPr>
              <w:pStyle w:val="Tabeludfyldningiret"/>
              <w:jc w:val="left"/>
              <w:rPr>
                <w:b/>
                <w:bCs/>
              </w:rPr>
            </w:pPr>
            <w:r w:rsidRPr="00ED3C82">
              <w:rPr>
                <w:b/>
                <w:bCs/>
              </w:rPr>
              <w:t>Særtilskud m.v.:</w:t>
            </w:r>
          </w:p>
        </w:tc>
        <w:tc>
          <w:tcPr>
            <w:tcW w:w="1070" w:type="dxa"/>
            <w:noWrap/>
          </w:tcPr>
          <w:p w14:paraId="12BC2744" w14:textId="04595F42" w:rsidR="001E20C1" w:rsidRPr="00C15B55" w:rsidRDefault="001E20C1" w:rsidP="001E20C1">
            <w:pPr>
              <w:pStyle w:val="Tabeludfyldningiret"/>
              <w:rPr>
                <w:color w:val="FF0000"/>
              </w:rPr>
            </w:pPr>
          </w:p>
        </w:tc>
        <w:tc>
          <w:tcPr>
            <w:tcW w:w="1070" w:type="dxa"/>
            <w:noWrap/>
          </w:tcPr>
          <w:p w14:paraId="573B1313" w14:textId="095E5E6E" w:rsidR="001E20C1" w:rsidRPr="00C15B55" w:rsidRDefault="001E20C1" w:rsidP="001E20C1">
            <w:pPr>
              <w:pStyle w:val="Tabeludfyldningiret"/>
              <w:rPr>
                <w:color w:val="FF0000"/>
              </w:rPr>
            </w:pPr>
          </w:p>
        </w:tc>
        <w:tc>
          <w:tcPr>
            <w:tcW w:w="1112" w:type="dxa"/>
            <w:noWrap/>
          </w:tcPr>
          <w:p w14:paraId="1057A2A9" w14:textId="14A1419A" w:rsidR="001E20C1" w:rsidRPr="00C15B55" w:rsidRDefault="001E20C1" w:rsidP="001E20C1">
            <w:pPr>
              <w:pStyle w:val="Tabeludfyldningiret"/>
              <w:rPr>
                <w:color w:val="FF0000"/>
              </w:rPr>
            </w:pPr>
          </w:p>
        </w:tc>
        <w:tc>
          <w:tcPr>
            <w:tcW w:w="1112" w:type="dxa"/>
          </w:tcPr>
          <w:p w14:paraId="0D07F04F" w14:textId="77777777" w:rsidR="001E20C1" w:rsidRPr="00C15B55" w:rsidRDefault="001E20C1" w:rsidP="001E20C1">
            <w:pPr>
              <w:pStyle w:val="Tabeludfyldningiret"/>
              <w:rPr>
                <w:color w:val="FF0000"/>
              </w:rPr>
            </w:pPr>
          </w:p>
        </w:tc>
        <w:tc>
          <w:tcPr>
            <w:tcW w:w="1070" w:type="dxa"/>
            <w:noWrap/>
          </w:tcPr>
          <w:p w14:paraId="049AC20C" w14:textId="77777777" w:rsidR="001E20C1" w:rsidRPr="00C15B55" w:rsidRDefault="001E20C1" w:rsidP="001E20C1">
            <w:pPr>
              <w:pStyle w:val="Tabeludfyldningiret"/>
              <w:rPr>
                <w:color w:val="FF0000"/>
              </w:rPr>
            </w:pPr>
          </w:p>
        </w:tc>
      </w:tr>
      <w:tr w:rsidR="00C15B55" w:rsidRPr="00C15B55" w14:paraId="79785D41" w14:textId="77777777" w:rsidTr="00CE0839">
        <w:trPr>
          <w:trHeight w:val="284"/>
        </w:trPr>
        <w:tc>
          <w:tcPr>
            <w:tcW w:w="4795" w:type="dxa"/>
          </w:tcPr>
          <w:p w14:paraId="323861BA" w14:textId="530A5A07" w:rsidR="001E20C1" w:rsidRPr="00ED3C82" w:rsidRDefault="001E20C1" w:rsidP="00ED3C82">
            <w:pPr>
              <w:pStyle w:val="Tabeludfyldningiret"/>
              <w:jc w:val="left"/>
            </w:pPr>
            <w:r w:rsidRPr="00ED3C82">
              <w:t>Bedre kvalitet i dagtilbud</w:t>
            </w:r>
          </w:p>
        </w:tc>
        <w:tc>
          <w:tcPr>
            <w:tcW w:w="1070" w:type="dxa"/>
            <w:noWrap/>
          </w:tcPr>
          <w:p w14:paraId="3809EBC5" w14:textId="45B3FE0E" w:rsidR="001E20C1" w:rsidRPr="00E13C26" w:rsidRDefault="001E20C1" w:rsidP="00E13C26">
            <w:pPr>
              <w:pStyle w:val="Tabeludfyldningiret"/>
            </w:pPr>
            <w:r w:rsidRPr="00E13C26">
              <w:t>-41</w:t>
            </w:r>
          </w:p>
        </w:tc>
        <w:tc>
          <w:tcPr>
            <w:tcW w:w="1070" w:type="dxa"/>
            <w:noWrap/>
          </w:tcPr>
          <w:p w14:paraId="6FA6BE2E" w14:textId="0213BAB3" w:rsidR="001E20C1" w:rsidRPr="00E13C26" w:rsidRDefault="00895680" w:rsidP="00E13C26">
            <w:pPr>
              <w:pStyle w:val="Tabeludfyldningiret"/>
            </w:pPr>
            <w:r w:rsidRPr="00E13C26">
              <w:t>-43</w:t>
            </w:r>
          </w:p>
        </w:tc>
        <w:tc>
          <w:tcPr>
            <w:tcW w:w="1112" w:type="dxa"/>
            <w:noWrap/>
          </w:tcPr>
          <w:p w14:paraId="6ADACDD7" w14:textId="1305D978" w:rsidR="001E20C1" w:rsidRPr="00E13C26" w:rsidRDefault="00895680" w:rsidP="00E13C26">
            <w:pPr>
              <w:pStyle w:val="Tabeludfyldningiret"/>
            </w:pPr>
            <w:r w:rsidRPr="00E13C26">
              <w:t>-44</w:t>
            </w:r>
          </w:p>
        </w:tc>
        <w:tc>
          <w:tcPr>
            <w:tcW w:w="1112" w:type="dxa"/>
          </w:tcPr>
          <w:p w14:paraId="671796EE" w14:textId="7216404B" w:rsidR="001E20C1" w:rsidRPr="00E13C26" w:rsidRDefault="00895680" w:rsidP="00E13C26">
            <w:pPr>
              <w:pStyle w:val="Tabeludfyldningiret"/>
            </w:pPr>
            <w:r w:rsidRPr="00E13C26">
              <w:t>-46</w:t>
            </w:r>
          </w:p>
        </w:tc>
        <w:tc>
          <w:tcPr>
            <w:tcW w:w="1070" w:type="dxa"/>
            <w:noWrap/>
          </w:tcPr>
          <w:p w14:paraId="0F0622F9" w14:textId="37E1227D" w:rsidR="001E20C1" w:rsidRPr="00E13C26" w:rsidRDefault="00895680" w:rsidP="00E13C26">
            <w:pPr>
              <w:pStyle w:val="Tabeludfyldningiret"/>
            </w:pPr>
            <w:r w:rsidRPr="00E13C26">
              <w:t>-47</w:t>
            </w:r>
          </w:p>
        </w:tc>
      </w:tr>
      <w:tr w:rsidR="00C15B55" w:rsidRPr="00C15B55" w14:paraId="74195CAF" w14:textId="77777777" w:rsidTr="00CE0839">
        <w:trPr>
          <w:trHeight w:val="284"/>
        </w:trPr>
        <w:tc>
          <w:tcPr>
            <w:tcW w:w="4795" w:type="dxa"/>
          </w:tcPr>
          <w:p w14:paraId="1AE72BB6" w14:textId="7CBC3AD2" w:rsidR="001E20C1" w:rsidRPr="00ED3C82" w:rsidRDefault="001E20C1" w:rsidP="00ED3C82">
            <w:pPr>
              <w:pStyle w:val="Tabeludfyldningiret"/>
              <w:jc w:val="left"/>
            </w:pPr>
            <w:r w:rsidRPr="00ED3C82">
              <w:t>Generelt løft i ældreplejen</w:t>
            </w:r>
          </w:p>
        </w:tc>
        <w:tc>
          <w:tcPr>
            <w:tcW w:w="1070" w:type="dxa"/>
            <w:noWrap/>
          </w:tcPr>
          <w:p w14:paraId="31849705" w14:textId="46E9C7B1" w:rsidR="001E20C1" w:rsidRPr="00E13C26" w:rsidRDefault="001E20C1" w:rsidP="00E13C26">
            <w:pPr>
              <w:pStyle w:val="Tabeludfyldningiret"/>
            </w:pPr>
            <w:r w:rsidRPr="00E13C26">
              <w:t>-39</w:t>
            </w:r>
          </w:p>
        </w:tc>
        <w:tc>
          <w:tcPr>
            <w:tcW w:w="1070" w:type="dxa"/>
            <w:noWrap/>
          </w:tcPr>
          <w:p w14:paraId="46A2739B" w14:textId="26FC3CB9" w:rsidR="001E20C1" w:rsidRPr="00E13C26" w:rsidRDefault="00895680" w:rsidP="00E13C26">
            <w:pPr>
              <w:pStyle w:val="Tabeludfyldningiret"/>
            </w:pPr>
            <w:r w:rsidRPr="00E13C26">
              <w:t>-41</w:t>
            </w:r>
          </w:p>
        </w:tc>
        <w:tc>
          <w:tcPr>
            <w:tcW w:w="1112" w:type="dxa"/>
            <w:noWrap/>
          </w:tcPr>
          <w:p w14:paraId="6139E483" w14:textId="71B14BD7" w:rsidR="001E20C1" w:rsidRPr="00E13C26" w:rsidRDefault="00895680" w:rsidP="00E13C26">
            <w:pPr>
              <w:pStyle w:val="Tabeludfyldningiret"/>
            </w:pPr>
            <w:r w:rsidRPr="00E13C26">
              <w:t>-42</w:t>
            </w:r>
          </w:p>
        </w:tc>
        <w:tc>
          <w:tcPr>
            <w:tcW w:w="1112" w:type="dxa"/>
          </w:tcPr>
          <w:p w14:paraId="05006251" w14:textId="0675CE6A" w:rsidR="001E20C1" w:rsidRPr="00E13C26" w:rsidRDefault="00895680" w:rsidP="00E13C26">
            <w:pPr>
              <w:pStyle w:val="Tabeludfyldningiret"/>
            </w:pPr>
            <w:r w:rsidRPr="00E13C26">
              <w:t>-43</w:t>
            </w:r>
          </w:p>
        </w:tc>
        <w:tc>
          <w:tcPr>
            <w:tcW w:w="1070" w:type="dxa"/>
            <w:noWrap/>
          </w:tcPr>
          <w:p w14:paraId="7AC8600A" w14:textId="26BECFE6" w:rsidR="001E20C1" w:rsidRPr="00E13C26" w:rsidRDefault="00895680" w:rsidP="00E13C26">
            <w:pPr>
              <w:pStyle w:val="Tabeludfyldningiret"/>
            </w:pPr>
            <w:r w:rsidRPr="00E13C26">
              <w:t>-45</w:t>
            </w:r>
          </w:p>
        </w:tc>
      </w:tr>
      <w:tr w:rsidR="00C15B55" w:rsidRPr="00C15B55" w14:paraId="65B33FAF" w14:textId="77777777" w:rsidTr="00CE0839">
        <w:trPr>
          <w:trHeight w:val="284"/>
        </w:trPr>
        <w:tc>
          <w:tcPr>
            <w:tcW w:w="4795" w:type="dxa"/>
          </w:tcPr>
          <w:p w14:paraId="76825C3A" w14:textId="424B0328" w:rsidR="001E20C1" w:rsidRPr="00ED3C82" w:rsidRDefault="001E20C1" w:rsidP="00ED3C82">
            <w:pPr>
              <w:pStyle w:val="Tabeludfyldningiret"/>
              <w:jc w:val="left"/>
            </w:pPr>
            <w:r w:rsidRPr="00ED3C82">
              <w:t>Styrket kvalitet i ældreplejen</w:t>
            </w:r>
          </w:p>
        </w:tc>
        <w:tc>
          <w:tcPr>
            <w:tcW w:w="1070" w:type="dxa"/>
            <w:noWrap/>
          </w:tcPr>
          <w:p w14:paraId="02190932" w14:textId="0EBF39C3" w:rsidR="001E20C1" w:rsidRPr="00E13C26" w:rsidRDefault="001E20C1" w:rsidP="00E13C26">
            <w:pPr>
              <w:pStyle w:val="Tabeludfyldningiret"/>
            </w:pPr>
            <w:r w:rsidRPr="00E13C26">
              <w:t>-52</w:t>
            </w:r>
          </w:p>
        </w:tc>
        <w:tc>
          <w:tcPr>
            <w:tcW w:w="1070" w:type="dxa"/>
            <w:noWrap/>
          </w:tcPr>
          <w:p w14:paraId="15827AD7" w14:textId="02170C38" w:rsidR="001E20C1" w:rsidRPr="00E13C26" w:rsidRDefault="00895680" w:rsidP="00E13C26">
            <w:pPr>
              <w:pStyle w:val="Tabeludfyldningiret"/>
            </w:pPr>
            <w:r w:rsidRPr="00E13C26">
              <w:t>-54</w:t>
            </w:r>
          </w:p>
        </w:tc>
        <w:tc>
          <w:tcPr>
            <w:tcW w:w="1112" w:type="dxa"/>
            <w:noWrap/>
          </w:tcPr>
          <w:p w14:paraId="49AF3C03" w14:textId="440A888C" w:rsidR="001E20C1" w:rsidRPr="00E13C26" w:rsidRDefault="00895680" w:rsidP="00E13C26">
            <w:pPr>
              <w:pStyle w:val="Tabeludfyldningiret"/>
            </w:pPr>
            <w:r w:rsidRPr="00E13C26">
              <w:t>-56</w:t>
            </w:r>
          </w:p>
        </w:tc>
        <w:tc>
          <w:tcPr>
            <w:tcW w:w="1112" w:type="dxa"/>
          </w:tcPr>
          <w:p w14:paraId="629E0885" w14:textId="65E0EFAD" w:rsidR="001E20C1" w:rsidRPr="00E13C26" w:rsidRDefault="00895680" w:rsidP="00E13C26">
            <w:pPr>
              <w:pStyle w:val="Tabeludfyldningiret"/>
            </w:pPr>
            <w:r w:rsidRPr="00E13C26">
              <w:t>-58</w:t>
            </w:r>
          </w:p>
        </w:tc>
        <w:tc>
          <w:tcPr>
            <w:tcW w:w="1070" w:type="dxa"/>
            <w:noWrap/>
          </w:tcPr>
          <w:p w14:paraId="63B9B074" w14:textId="0DBBD47D" w:rsidR="001E20C1" w:rsidRPr="00E13C26" w:rsidRDefault="00895680" w:rsidP="00E13C26">
            <w:pPr>
              <w:pStyle w:val="Tabeludfyldningiret"/>
            </w:pPr>
            <w:r w:rsidRPr="00E13C26">
              <w:t>-60</w:t>
            </w:r>
          </w:p>
        </w:tc>
      </w:tr>
      <w:tr w:rsidR="00C15B55" w:rsidRPr="00C15B55" w14:paraId="4D47FAFF" w14:textId="77777777" w:rsidTr="00CE0839">
        <w:trPr>
          <w:trHeight w:val="284"/>
        </w:trPr>
        <w:tc>
          <w:tcPr>
            <w:tcW w:w="4795" w:type="dxa"/>
          </w:tcPr>
          <w:p w14:paraId="3C459FB4" w14:textId="076C1738" w:rsidR="001E20C1" w:rsidRPr="00ED3C82" w:rsidRDefault="001E20C1" w:rsidP="00ED3C82">
            <w:pPr>
              <w:pStyle w:val="Tabeludfyldningiret"/>
              <w:jc w:val="left"/>
            </w:pPr>
            <w:r w:rsidRPr="00ED3C82">
              <w:t>Finansieringstilskud</w:t>
            </w:r>
          </w:p>
        </w:tc>
        <w:tc>
          <w:tcPr>
            <w:tcW w:w="1070" w:type="dxa"/>
            <w:noWrap/>
          </w:tcPr>
          <w:p w14:paraId="560C9062" w14:textId="7C68FD04" w:rsidR="001E20C1" w:rsidRPr="00E13C26" w:rsidRDefault="001E20C1" w:rsidP="00E13C26">
            <w:pPr>
              <w:pStyle w:val="Tabeludfyldningiret"/>
            </w:pPr>
            <w:r w:rsidRPr="00E13C26">
              <w:t>-93</w:t>
            </w:r>
          </w:p>
        </w:tc>
        <w:tc>
          <w:tcPr>
            <w:tcW w:w="1070" w:type="dxa"/>
            <w:noWrap/>
          </w:tcPr>
          <w:p w14:paraId="3B0BF132" w14:textId="5345B726" w:rsidR="001E20C1" w:rsidRPr="00E13C26" w:rsidRDefault="00895680" w:rsidP="00E13C26">
            <w:pPr>
              <w:pStyle w:val="Tabeludfyldningiret"/>
            </w:pPr>
            <w:r w:rsidRPr="00E13C26">
              <w:t>-123</w:t>
            </w:r>
          </w:p>
        </w:tc>
        <w:tc>
          <w:tcPr>
            <w:tcW w:w="1112" w:type="dxa"/>
            <w:noWrap/>
          </w:tcPr>
          <w:p w14:paraId="5430CCBA" w14:textId="4153CFE7" w:rsidR="001E20C1" w:rsidRPr="00E13C26" w:rsidRDefault="003233A7" w:rsidP="00E13C26">
            <w:pPr>
              <w:pStyle w:val="Tabeludfyldningiret"/>
            </w:pPr>
            <w:r w:rsidRPr="00E13C26">
              <w:t>-94</w:t>
            </w:r>
          </w:p>
        </w:tc>
        <w:tc>
          <w:tcPr>
            <w:tcW w:w="1112" w:type="dxa"/>
          </w:tcPr>
          <w:p w14:paraId="6F2AD2EF" w14:textId="70B990F9" w:rsidR="001E20C1" w:rsidRPr="00E13C26" w:rsidRDefault="003233A7" w:rsidP="00E13C26">
            <w:pPr>
              <w:pStyle w:val="Tabeludfyldningiret"/>
            </w:pPr>
            <w:r w:rsidRPr="00E13C26">
              <w:t>-94</w:t>
            </w:r>
          </w:p>
        </w:tc>
        <w:tc>
          <w:tcPr>
            <w:tcW w:w="1070" w:type="dxa"/>
            <w:noWrap/>
          </w:tcPr>
          <w:p w14:paraId="58EB1315" w14:textId="59AD7D48" w:rsidR="001E20C1" w:rsidRPr="00E13C26" w:rsidRDefault="003233A7" w:rsidP="00E13C26">
            <w:pPr>
              <w:pStyle w:val="Tabeludfyldningiret"/>
            </w:pPr>
            <w:r w:rsidRPr="00E13C26">
              <w:t>-94</w:t>
            </w:r>
          </w:p>
        </w:tc>
      </w:tr>
      <w:tr w:rsidR="00C15B55" w:rsidRPr="00C15B55" w14:paraId="1B029F74" w14:textId="77777777" w:rsidTr="00CE0839">
        <w:trPr>
          <w:trHeight w:val="284"/>
        </w:trPr>
        <w:tc>
          <w:tcPr>
            <w:tcW w:w="4795" w:type="dxa"/>
          </w:tcPr>
          <w:p w14:paraId="7125BC27" w14:textId="534815FE" w:rsidR="001E20C1" w:rsidRPr="00ED3C82" w:rsidRDefault="001E20C1" w:rsidP="00ED3C82">
            <w:pPr>
              <w:pStyle w:val="Tabeludfyldningiret"/>
              <w:jc w:val="left"/>
            </w:pPr>
            <w:r w:rsidRPr="00ED3C82">
              <w:t>Tilskud til værdig ældrepleje</w:t>
            </w:r>
          </w:p>
        </w:tc>
        <w:tc>
          <w:tcPr>
            <w:tcW w:w="1070" w:type="dxa"/>
            <w:noWrap/>
          </w:tcPr>
          <w:p w14:paraId="4FB017DB" w14:textId="6504BB3B" w:rsidR="001E20C1" w:rsidRPr="00E13C26" w:rsidRDefault="001E20C1" w:rsidP="00E13C26">
            <w:pPr>
              <w:pStyle w:val="Tabeludfyldningiret"/>
            </w:pPr>
            <w:r w:rsidRPr="00E13C26">
              <w:t>-55</w:t>
            </w:r>
          </w:p>
        </w:tc>
        <w:tc>
          <w:tcPr>
            <w:tcW w:w="1070" w:type="dxa"/>
            <w:noWrap/>
          </w:tcPr>
          <w:p w14:paraId="319017C8" w14:textId="43614475" w:rsidR="001E20C1" w:rsidRPr="00E13C26" w:rsidRDefault="003233A7" w:rsidP="00E13C26">
            <w:pPr>
              <w:pStyle w:val="Tabeludfyldningiret"/>
            </w:pPr>
            <w:r w:rsidRPr="00E13C26">
              <w:t>-57</w:t>
            </w:r>
          </w:p>
        </w:tc>
        <w:tc>
          <w:tcPr>
            <w:tcW w:w="1112" w:type="dxa"/>
            <w:noWrap/>
          </w:tcPr>
          <w:p w14:paraId="7FED2AB8" w14:textId="500905CA" w:rsidR="001E20C1" w:rsidRPr="00E13C26" w:rsidRDefault="003233A7" w:rsidP="00E13C26">
            <w:pPr>
              <w:pStyle w:val="Tabeludfyldningiret"/>
            </w:pPr>
            <w:r w:rsidRPr="00E13C26">
              <w:t>-59</w:t>
            </w:r>
          </w:p>
        </w:tc>
        <w:tc>
          <w:tcPr>
            <w:tcW w:w="1112" w:type="dxa"/>
          </w:tcPr>
          <w:p w14:paraId="488CD798" w14:textId="621AB6F4" w:rsidR="001E20C1" w:rsidRPr="00E13C26" w:rsidRDefault="003233A7" w:rsidP="00E13C26">
            <w:pPr>
              <w:pStyle w:val="Tabeludfyldningiret"/>
            </w:pPr>
            <w:r w:rsidRPr="00E13C26">
              <w:t>-61</w:t>
            </w:r>
          </w:p>
        </w:tc>
        <w:tc>
          <w:tcPr>
            <w:tcW w:w="1070" w:type="dxa"/>
            <w:noWrap/>
          </w:tcPr>
          <w:p w14:paraId="5E37BAB5" w14:textId="338F7133" w:rsidR="001E20C1" w:rsidRPr="00E13C26" w:rsidRDefault="003233A7" w:rsidP="00E13C26">
            <w:pPr>
              <w:pStyle w:val="Tabeludfyldningiret"/>
            </w:pPr>
            <w:r w:rsidRPr="00E13C26">
              <w:t>-62</w:t>
            </w:r>
          </w:p>
        </w:tc>
      </w:tr>
      <w:tr w:rsidR="00C15B55" w:rsidRPr="00C15B55" w14:paraId="30E1520E" w14:textId="77777777" w:rsidTr="00CE0839">
        <w:trPr>
          <w:trHeight w:val="284"/>
        </w:trPr>
        <w:tc>
          <w:tcPr>
            <w:tcW w:w="4795" w:type="dxa"/>
          </w:tcPr>
          <w:p w14:paraId="12851DCF" w14:textId="6155F517" w:rsidR="001E20C1" w:rsidRPr="00ED3C82" w:rsidRDefault="001E20C1" w:rsidP="00ED3C82">
            <w:pPr>
              <w:pStyle w:val="Tabeludfyldningiret"/>
              <w:jc w:val="left"/>
            </w:pPr>
            <w:r w:rsidRPr="00ED3C82">
              <w:t>Tilskud til bekæmpelse af ensomhed</w:t>
            </w:r>
          </w:p>
        </w:tc>
        <w:tc>
          <w:tcPr>
            <w:tcW w:w="1070" w:type="dxa"/>
            <w:noWrap/>
          </w:tcPr>
          <w:p w14:paraId="17D5432D" w14:textId="01DE62BF" w:rsidR="001E20C1" w:rsidRPr="00E13C26" w:rsidRDefault="001E20C1" w:rsidP="00E13C26">
            <w:pPr>
              <w:pStyle w:val="Tabeludfyldningiret"/>
            </w:pPr>
            <w:r w:rsidRPr="00E13C26">
              <w:t>-5</w:t>
            </w:r>
          </w:p>
        </w:tc>
        <w:tc>
          <w:tcPr>
            <w:tcW w:w="1070" w:type="dxa"/>
            <w:noWrap/>
          </w:tcPr>
          <w:p w14:paraId="6B7ED8EE" w14:textId="629C5DDF" w:rsidR="001E20C1" w:rsidRPr="00E13C26" w:rsidRDefault="003233A7" w:rsidP="00E13C26">
            <w:pPr>
              <w:pStyle w:val="Tabeludfyldningiret"/>
            </w:pPr>
            <w:r w:rsidRPr="00E13C26">
              <w:t>-5</w:t>
            </w:r>
          </w:p>
        </w:tc>
        <w:tc>
          <w:tcPr>
            <w:tcW w:w="1112" w:type="dxa"/>
            <w:noWrap/>
          </w:tcPr>
          <w:p w14:paraId="7C551C84" w14:textId="56DC8CE0" w:rsidR="001E20C1" w:rsidRPr="00E13C26" w:rsidRDefault="003233A7" w:rsidP="00E13C26">
            <w:pPr>
              <w:pStyle w:val="Tabeludfyldningiret"/>
            </w:pPr>
            <w:r w:rsidRPr="00E13C26">
              <w:t>-6</w:t>
            </w:r>
          </w:p>
        </w:tc>
        <w:tc>
          <w:tcPr>
            <w:tcW w:w="1112" w:type="dxa"/>
          </w:tcPr>
          <w:p w14:paraId="6833F01B" w14:textId="44E98787" w:rsidR="001E20C1" w:rsidRPr="00E13C26" w:rsidRDefault="003233A7" w:rsidP="00E13C26">
            <w:pPr>
              <w:pStyle w:val="Tabeludfyldningiret"/>
            </w:pPr>
            <w:r w:rsidRPr="00E13C26">
              <w:t>-6</w:t>
            </w:r>
          </w:p>
        </w:tc>
        <w:tc>
          <w:tcPr>
            <w:tcW w:w="1070" w:type="dxa"/>
            <w:noWrap/>
          </w:tcPr>
          <w:p w14:paraId="2B8F3B43" w14:textId="679C67C5" w:rsidR="001E20C1" w:rsidRPr="00E13C26" w:rsidRDefault="003233A7" w:rsidP="00E13C26">
            <w:pPr>
              <w:pStyle w:val="Tabeludfyldningiret"/>
            </w:pPr>
            <w:r w:rsidRPr="00E13C26">
              <w:t>-6</w:t>
            </w:r>
          </w:p>
        </w:tc>
      </w:tr>
      <w:tr w:rsidR="00C15B55" w:rsidRPr="00C15B55" w14:paraId="742C1054" w14:textId="77777777" w:rsidTr="00CE0839">
        <w:trPr>
          <w:trHeight w:val="284"/>
        </w:trPr>
        <w:tc>
          <w:tcPr>
            <w:tcW w:w="4795" w:type="dxa"/>
          </w:tcPr>
          <w:p w14:paraId="4F15BF52" w14:textId="409ACE8E" w:rsidR="001E20C1" w:rsidRPr="00ED3C82" w:rsidRDefault="001E20C1" w:rsidP="00ED3C82">
            <w:pPr>
              <w:pStyle w:val="Tabeludfyldningiret"/>
              <w:jc w:val="left"/>
            </w:pPr>
            <w:r w:rsidRPr="00ED3C82">
              <w:t>Tilskud vedr. høj kriminalitet i visse boligområder</w:t>
            </w:r>
          </w:p>
        </w:tc>
        <w:tc>
          <w:tcPr>
            <w:tcW w:w="1070" w:type="dxa"/>
            <w:noWrap/>
          </w:tcPr>
          <w:p w14:paraId="10599DA2" w14:textId="60238E04" w:rsidR="001E20C1" w:rsidRPr="00E13C26" w:rsidRDefault="001E20C1" w:rsidP="00E13C26">
            <w:pPr>
              <w:pStyle w:val="Tabeludfyldningiret"/>
            </w:pPr>
            <w:r w:rsidRPr="00E13C26">
              <w:t>-17</w:t>
            </w:r>
          </w:p>
        </w:tc>
        <w:tc>
          <w:tcPr>
            <w:tcW w:w="1070" w:type="dxa"/>
            <w:noWrap/>
          </w:tcPr>
          <w:p w14:paraId="59011875" w14:textId="28F7EBBF" w:rsidR="001E20C1" w:rsidRPr="00E13C26" w:rsidRDefault="003233A7" w:rsidP="00E13C26">
            <w:pPr>
              <w:pStyle w:val="Tabeludfyldningiret"/>
            </w:pPr>
            <w:r w:rsidRPr="00E13C26">
              <w:t>-1</w:t>
            </w:r>
            <w:r w:rsidR="00472522" w:rsidRPr="00E13C26">
              <w:t>8</w:t>
            </w:r>
          </w:p>
        </w:tc>
        <w:tc>
          <w:tcPr>
            <w:tcW w:w="1112" w:type="dxa"/>
            <w:noWrap/>
          </w:tcPr>
          <w:p w14:paraId="1A141AB8" w14:textId="60B18C2D" w:rsidR="001E20C1" w:rsidRPr="00E13C26" w:rsidRDefault="003233A7" w:rsidP="00E13C26">
            <w:pPr>
              <w:pStyle w:val="Tabeludfyldningiret"/>
            </w:pPr>
            <w:r w:rsidRPr="00E13C26">
              <w:t>-18</w:t>
            </w:r>
          </w:p>
        </w:tc>
        <w:tc>
          <w:tcPr>
            <w:tcW w:w="1112" w:type="dxa"/>
          </w:tcPr>
          <w:p w14:paraId="1051D2FF" w14:textId="6646632F" w:rsidR="001E20C1" w:rsidRPr="00E13C26" w:rsidRDefault="003233A7" w:rsidP="00E13C26">
            <w:pPr>
              <w:pStyle w:val="Tabeludfyldningiret"/>
            </w:pPr>
            <w:r w:rsidRPr="00E13C26">
              <w:t>-19</w:t>
            </w:r>
          </w:p>
        </w:tc>
        <w:tc>
          <w:tcPr>
            <w:tcW w:w="1070" w:type="dxa"/>
            <w:noWrap/>
          </w:tcPr>
          <w:p w14:paraId="2E18456C" w14:textId="4F283810" w:rsidR="001E20C1" w:rsidRPr="00E13C26" w:rsidRDefault="003233A7" w:rsidP="00E13C26">
            <w:pPr>
              <w:pStyle w:val="Tabeludfyldningiret"/>
            </w:pPr>
            <w:r w:rsidRPr="00E13C26">
              <w:t>-19</w:t>
            </w:r>
          </w:p>
        </w:tc>
      </w:tr>
      <w:tr w:rsidR="00C15B55" w:rsidRPr="00C15B55" w14:paraId="51EEF699" w14:textId="77777777" w:rsidTr="00CE0839">
        <w:trPr>
          <w:trHeight w:val="284"/>
        </w:trPr>
        <w:tc>
          <w:tcPr>
            <w:tcW w:w="4795" w:type="dxa"/>
          </w:tcPr>
          <w:p w14:paraId="56913FA3" w14:textId="65EB77DE" w:rsidR="001E20C1" w:rsidRPr="00ED3C82" w:rsidRDefault="001E20C1" w:rsidP="00ED3C82">
            <w:pPr>
              <w:pStyle w:val="Tabeludfyldningiret"/>
              <w:jc w:val="left"/>
            </w:pPr>
            <w:r w:rsidRPr="00ED3C82">
              <w:t>Kompensation for tab på dækningsafgift</w:t>
            </w:r>
          </w:p>
        </w:tc>
        <w:tc>
          <w:tcPr>
            <w:tcW w:w="1070" w:type="dxa"/>
            <w:noWrap/>
          </w:tcPr>
          <w:p w14:paraId="1D434661" w14:textId="1B65D894" w:rsidR="001E20C1" w:rsidRPr="00E13C26" w:rsidRDefault="001E20C1" w:rsidP="00E13C26">
            <w:pPr>
              <w:pStyle w:val="Tabeludfyldningiret"/>
            </w:pPr>
            <w:r w:rsidRPr="00E13C26">
              <w:t>-7</w:t>
            </w:r>
          </w:p>
        </w:tc>
        <w:tc>
          <w:tcPr>
            <w:tcW w:w="1070" w:type="dxa"/>
            <w:noWrap/>
          </w:tcPr>
          <w:p w14:paraId="38EFBBE0" w14:textId="0ED80BF3" w:rsidR="001E20C1" w:rsidRPr="00E13C26" w:rsidRDefault="003233A7" w:rsidP="00E13C26">
            <w:pPr>
              <w:pStyle w:val="Tabeludfyldningiret"/>
            </w:pPr>
            <w:r w:rsidRPr="00E13C26">
              <w:t>-7</w:t>
            </w:r>
          </w:p>
        </w:tc>
        <w:tc>
          <w:tcPr>
            <w:tcW w:w="1112" w:type="dxa"/>
            <w:noWrap/>
          </w:tcPr>
          <w:p w14:paraId="60074289" w14:textId="74FFFF1C" w:rsidR="001E20C1" w:rsidRPr="00E13C26" w:rsidRDefault="003233A7" w:rsidP="00E13C26">
            <w:pPr>
              <w:pStyle w:val="Tabeludfyldningiret"/>
            </w:pPr>
            <w:r w:rsidRPr="00E13C26">
              <w:t>-3</w:t>
            </w:r>
          </w:p>
        </w:tc>
        <w:tc>
          <w:tcPr>
            <w:tcW w:w="1112" w:type="dxa"/>
          </w:tcPr>
          <w:p w14:paraId="11906A86" w14:textId="7D3B4F2C" w:rsidR="001E20C1" w:rsidRPr="00E13C26" w:rsidRDefault="003233A7" w:rsidP="00E13C26">
            <w:pPr>
              <w:pStyle w:val="Tabeludfyldningiret"/>
            </w:pPr>
            <w:r w:rsidRPr="00E13C26">
              <w:t>-2</w:t>
            </w:r>
          </w:p>
        </w:tc>
        <w:tc>
          <w:tcPr>
            <w:tcW w:w="1070" w:type="dxa"/>
            <w:noWrap/>
          </w:tcPr>
          <w:p w14:paraId="6C53479B" w14:textId="67595680" w:rsidR="001E20C1" w:rsidRPr="00E13C26" w:rsidRDefault="003233A7" w:rsidP="00E13C26">
            <w:pPr>
              <w:pStyle w:val="Tabeludfyldningiret"/>
            </w:pPr>
            <w:r w:rsidRPr="00E13C26">
              <w:t>0</w:t>
            </w:r>
          </w:p>
        </w:tc>
      </w:tr>
      <w:tr w:rsidR="00C15B55" w:rsidRPr="00C15B55" w14:paraId="1BC477BC" w14:textId="77777777" w:rsidTr="00CE0839">
        <w:trPr>
          <w:trHeight w:val="284"/>
        </w:trPr>
        <w:tc>
          <w:tcPr>
            <w:tcW w:w="4795" w:type="dxa"/>
          </w:tcPr>
          <w:p w14:paraId="18323568" w14:textId="3B110ED5" w:rsidR="003233A7" w:rsidRPr="00ED3C82" w:rsidRDefault="003233A7" w:rsidP="00ED3C82">
            <w:pPr>
              <w:pStyle w:val="Tabeludfyldningiret"/>
              <w:jc w:val="left"/>
            </w:pPr>
            <w:r w:rsidRPr="00ED3C82">
              <w:t>Kompensation vedr. grundskyld</w:t>
            </w:r>
          </w:p>
        </w:tc>
        <w:tc>
          <w:tcPr>
            <w:tcW w:w="1070" w:type="dxa"/>
            <w:noWrap/>
          </w:tcPr>
          <w:p w14:paraId="59378A8E" w14:textId="1872CCAF" w:rsidR="003233A7" w:rsidRPr="00E13C26" w:rsidRDefault="003233A7" w:rsidP="00E13C26">
            <w:pPr>
              <w:pStyle w:val="Tabeludfyldningiret"/>
            </w:pPr>
            <w:r w:rsidRPr="00E13C26">
              <w:t>0</w:t>
            </w:r>
          </w:p>
        </w:tc>
        <w:tc>
          <w:tcPr>
            <w:tcW w:w="1070" w:type="dxa"/>
            <w:noWrap/>
          </w:tcPr>
          <w:p w14:paraId="42CB5722" w14:textId="5B027C5B" w:rsidR="003233A7" w:rsidRPr="00E13C26" w:rsidRDefault="003233A7" w:rsidP="00E13C26">
            <w:pPr>
              <w:pStyle w:val="Tabeludfyldningiret"/>
            </w:pPr>
            <w:r w:rsidRPr="00E13C26">
              <w:t>-40</w:t>
            </w:r>
          </w:p>
        </w:tc>
        <w:tc>
          <w:tcPr>
            <w:tcW w:w="1112" w:type="dxa"/>
            <w:noWrap/>
          </w:tcPr>
          <w:p w14:paraId="0DDA7C43" w14:textId="3F4FBDDD" w:rsidR="003233A7" w:rsidRPr="00E13C26" w:rsidRDefault="003233A7" w:rsidP="00E13C26">
            <w:pPr>
              <w:pStyle w:val="Tabeludfyldningiret"/>
            </w:pPr>
            <w:r w:rsidRPr="00E13C26">
              <w:t>0</w:t>
            </w:r>
          </w:p>
        </w:tc>
        <w:tc>
          <w:tcPr>
            <w:tcW w:w="1112" w:type="dxa"/>
          </w:tcPr>
          <w:p w14:paraId="11DDBFB4" w14:textId="7133AADD" w:rsidR="003233A7" w:rsidRPr="00E13C26" w:rsidRDefault="003233A7" w:rsidP="00E13C26">
            <w:pPr>
              <w:pStyle w:val="Tabeludfyldningiret"/>
            </w:pPr>
            <w:r w:rsidRPr="00E13C26">
              <w:t>0</w:t>
            </w:r>
          </w:p>
        </w:tc>
        <w:tc>
          <w:tcPr>
            <w:tcW w:w="1070" w:type="dxa"/>
            <w:noWrap/>
          </w:tcPr>
          <w:p w14:paraId="03101A10" w14:textId="662EC97C" w:rsidR="003233A7" w:rsidRPr="00E13C26" w:rsidRDefault="003233A7" w:rsidP="00E13C26">
            <w:pPr>
              <w:pStyle w:val="Tabeludfyldningiret"/>
            </w:pPr>
            <w:r w:rsidRPr="00E13C26">
              <w:t>0</w:t>
            </w:r>
          </w:p>
        </w:tc>
      </w:tr>
      <w:tr w:rsidR="00C15B55" w:rsidRPr="00C15B55" w14:paraId="2214E03D" w14:textId="77777777" w:rsidTr="00CE0839">
        <w:trPr>
          <w:trHeight w:val="284"/>
        </w:trPr>
        <w:tc>
          <w:tcPr>
            <w:tcW w:w="4795" w:type="dxa"/>
          </w:tcPr>
          <w:p w14:paraId="1D86FC6C" w14:textId="22BA0477" w:rsidR="001E20C1" w:rsidRPr="00ED3C82" w:rsidRDefault="001E20C1" w:rsidP="00ED3C82">
            <w:pPr>
              <w:pStyle w:val="Tabeludfyldningiret"/>
              <w:jc w:val="left"/>
            </w:pPr>
            <w:r w:rsidRPr="00ED3C82">
              <w:t>Kommunale bidrag til regionerne</w:t>
            </w:r>
          </w:p>
        </w:tc>
        <w:tc>
          <w:tcPr>
            <w:tcW w:w="1070" w:type="dxa"/>
            <w:noWrap/>
          </w:tcPr>
          <w:p w14:paraId="5E8E85F0" w14:textId="7EC1BAC3" w:rsidR="001E20C1" w:rsidRPr="00E13C26" w:rsidRDefault="001E20C1" w:rsidP="00E13C26">
            <w:pPr>
              <w:pStyle w:val="Tabeludfyldningiret"/>
            </w:pPr>
            <w:r w:rsidRPr="00E13C26">
              <w:t>47</w:t>
            </w:r>
          </w:p>
        </w:tc>
        <w:tc>
          <w:tcPr>
            <w:tcW w:w="1070" w:type="dxa"/>
            <w:noWrap/>
          </w:tcPr>
          <w:p w14:paraId="1CB525B3" w14:textId="7C299977" w:rsidR="001E20C1" w:rsidRPr="00E13C26" w:rsidRDefault="003233A7" w:rsidP="00E13C26">
            <w:pPr>
              <w:pStyle w:val="Tabeludfyldningiret"/>
            </w:pPr>
            <w:r w:rsidRPr="00E13C26">
              <w:t>49</w:t>
            </w:r>
          </w:p>
        </w:tc>
        <w:tc>
          <w:tcPr>
            <w:tcW w:w="1112" w:type="dxa"/>
            <w:noWrap/>
          </w:tcPr>
          <w:p w14:paraId="6C7411E0" w14:textId="244340FF" w:rsidR="001E20C1" w:rsidRPr="00E13C26" w:rsidRDefault="003233A7" w:rsidP="00E13C26">
            <w:pPr>
              <w:pStyle w:val="Tabeludfyldningiret"/>
            </w:pPr>
            <w:r w:rsidRPr="00E13C26">
              <w:t>51</w:t>
            </w:r>
          </w:p>
        </w:tc>
        <w:tc>
          <w:tcPr>
            <w:tcW w:w="1112" w:type="dxa"/>
          </w:tcPr>
          <w:p w14:paraId="3BDEB403" w14:textId="15C51C67" w:rsidR="001E20C1" w:rsidRPr="00E13C26" w:rsidRDefault="003233A7" w:rsidP="00E13C26">
            <w:pPr>
              <w:pStyle w:val="Tabeludfyldningiret"/>
            </w:pPr>
            <w:r w:rsidRPr="00E13C26">
              <w:t>53</w:t>
            </w:r>
          </w:p>
        </w:tc>
        <w:tc>
          <w:tcPr>
            <w:tcW w:w="1070" w:type="dxa"/>
            <w:noWrap/>
          </w:tcPr>
          <w:p w14:paraId="69ACB7D2" w14:textId="44F8238C" w:rsidR="001E20C1" w:rsidRPr="00E13C26" w:rsidRDefault="003233A7" w:rsidP="00E13C26">
            <w:pPr>
              <w:pStyle w:val="Tabeludfyldningiret"/>
            </w:pPr>
            <w:r w:rsidRPr="00E13C26">
              <w:t>56</w:t>
            </w:r>
          </w:p>
        </w:tc>
      </w:tr>
      <w:tr w:rsidR="00C15B55" w:rsidRPr="00C15B55" w14:paraId="325BBFB5" w14:textId="77777777" w:rsidTr="00CE0839">
        <w:trPr>
          <w:trHeight w:val="284"/>
        </w:trPr>
        <w:tc>
          <w:tcPr>
            <w:tcW w:w="4795" w:type="dxa"/>
          </w:tcPr>
          <w:p w14:paraId="15EB3BAF" w14:textId="554A1ECC" w:rsidR="001E20C1" w:rsidRPr="00ED3C82" w:rsidRDefault="001E20C1" w:rsidP="00ED3C82">
            <w:pPr>
              <w:pStyle w:val="Tabeludfyldningiret"/>
              <w:jc w:val="left"/>
            </w:pPr>
            <w:r w:rsidRPr="00ED3C82">
              <w:t>Refusion af købsmoms</w:t>
            </w:r>
          </w:p>
        </w:tc>
        <w:tc>
          <w:tcPr>
            <w:tcW w:w="1070" w:type="dxa"/>
            <w:noWrap/>
          </w:tcPr>
          <w:p w14:paraId="7C5D72E6" w14:textId="0FEC3AE2" w:rsidR="001E20C1" w:rsidRPr="00E13C26" w:rsidRDefault="001E20C1" w:rsidP="00E13C26">
            <w:pPr>
              <w:pStyle w:val="Tabeludfyldningiret"/>
            </w:pPr>
            <w:r w:rsidRPr="00E13C26">
              <w:t>10</w:t>
            </w:r>
          </w:p>
        </w:tc>
        <w:tc>
          <w:tcPr>
            <w:tcW w:w="1070" w:type="dxa"/>
            <w:noWrap/>
          </w:tcPr>
          <w:p w14:paraId="280DE8F4" w14:textId="08C46E10" w:rsidR="001E20C1" w:rsidRPr="00E13C26" w:rsidRDefault="003233A7" w:rsidP="00E13C26">
            <w:pPr>
              <w:pStyle w:val="Tabeludfyldningiret"/>
            </w:pPr>
            <w:r w:rsidRPr="00E13C26">
              <w:t>10</w:t>
            </w:r>
          </w:p>
        </w:tc>
        <w:tc>
          <w:tcPr>
            <w:tcW w:w="1112" w:type="dxa"/>
            <w:noWrap/>
          </w:tcPr>
          <w:p w14:paraId="38AE94CF" w14:textId="6A503729" w:rsidR="001E20C1" w:rsidRPr="00E13C26" w:rsidRDefault="003233A7" w:rsidP="00E13C26">
            <w:pPr>
              <w:pStyle w:val="Tabeludfyldningiret"/>
            </w:pPr>
            <w:r w:rsidRPr="00E13C26">
              <w:t>10</w:t>
            </w:r>
          </w:p>
        </w:tc>
        <w:tc>
          <w:tcPr>
            <w:tcW w:w="1112" w:type="dxa"/>
          </w:tcPr>
          <w:p w14:paraId="1C8F9D92" w14:textId="51FEEA8A" w:rsidR="001E20C1" w:rsidRPr="00E13C26" w:rsidRDefault="003233A7" w:rsidP="00E13C26">
            <w:pPr>
              <w:pStyle w:val="Tabeludfyldningiret"/>
            </w:pPr>
            <w:r w:rsidRPr="00E13C26">
              <w:t>10</w:t>
            </w:r>
          </w:p>
        </w:tc>
        <w:tc>
          <w:tcPr>
            <w:tcW w:w="1070" w:type="dxa"/>
            <w:noWrap/>
          </w:tcPr>
          <w:p w14:paraId="4C9CB1BF" w14:textId="1FDFCDD1" w:rsidR="001E20C1" w:rsidRPr="00E13C26" w:rsidRDefault="003233A7" w:rsidP="00E13C26">
            <w:pPr>
              <w:pStyle w:val="Tabeludfyldningiret"/>
            </w:pPr>
            <w:r w:rsidRPr="00E13C26">
              <w:t>10</w:t>
            </w:r>
          </w:p>
        </w:tc>
      </w:tr>
      <w:tr w:rsidR="00C15B55" w:rsidRPr="00C15B55" w14:paraId="324F91DB" w14:textId="77777777" w:rsidTr="00CE0839">
        <w:trPr>
          <w:trHeight w:val="284"/>
        </w:trPr>
        <w:tc>
          <w:tcPr>
            <w:tcW w:w="4795" w:type="dxa"/>
          </w:tcPr>
          <w:p w14:paraId="04D65BFF" w14:textId="77777777" w:rsidR="001E20C1" w:rsidRPr="00ED3C82" w:rsidRDefault="001E20C1" w:rsidP="00ED3C82">
            <w:pPr>
              <w:pStyle w:val="Tabeludfyldningiret"/>
              <w:jc w:val="left"/>
            </w:pPr>
          </w:p>
        </w:tc>
        <w:tc>
          <w:tcPr>
            <w:tcW w:w="1070" w:type="dxa"/>
            <w:noWrap/>
          </w:tcPr>
          <w:p w14:paraId="2E9405ED" w14:textId="77777777" w:rsidR="001E20C1" w:rsidRPr="00E13C26" w:rsidRDefault="001E20C1" w:rsidP="00E13C26">
            <w:pPr>
              <w:pStyle w:val="Tabeludfyldningiret"/>
            </w:pPr>
          </w:p>
        </w:tc>
        <w:tc>
          <w:tcPr>
            <w:tcW w:w="1070" w:type="dxa"/>
            <w:noWrap/>
          </w:tcPr>
          <w:p w14:paraId="7FB42917" w14:textId="77777777" w:rsidR="001E20C1" w:rsidRPr="00E13C26" w:rsidRDefault="001E20C1" w:rsidP="00E13C26">
            <w:pPr>
              <w:pStyle w:val="Tabeludfyldningiret"/>
            </w:pPr>
          </w:p>
        </w:tc>
        <w:tc>
          <w:tcPr>
            <w:tcW w:w="1112" w:type="dxa"/>
            <w:noWrap/>
          </w:tcPr>
          <w:p w14:paraId="3D9948F2" w14:textId="77777777" w:rsidR="001E20C1" w:rsidRPr="00E13C26" w:rsidRDefault="001E20C1" w:rsidP="00E13C26">
            <w:pPr>
              <w:pStyle w:val="Tabeludfyldningiret"/>
            </w:pPr>
          </w:p>
        </w:tc>
        <w:tc>
          <w:tcPr>
            <w:tcW w:w="1112" w:type="dxa"/>
          </w:tcPr>
          <w:p w14:paraId="3C9053D7" w14:textId="77777777" w:rsidR="001E20C1" w:rsidRPr="00E13C26" w:rsidRDefault="001E20C1" w:rsidP="00E13C26">
            <w:pPr>
              <w:pStyle w:val="Tabeludfyldningiret"/>
            </w:pPr>
          </w:p>
        </w:tc>
        <w:tc>
          <w:tcPr>
            <w:tcW w:w="1070" w:type="dxa"/>
            <w:noWrap/>
          </w:tcPr>
          <w:p w14:paraId="07ED367A" w14:textId="77777777" w:rsidR="001E20C1" w:rsidRPr="00E13C26" w:rsidRDefault="001E20C1" w:rsidP="00E13C26">
            <w:pPr>
              <w:pStyle w:val="Tabeludfyldningiret"/>
            </w:pPr>
          </w:p>
        </w:tc>
      </w:tr>
      <w:tr w:rsidR="00C15B55" w:rsidRPr="00C15B55" w14:paraId="4D1C34F9" w14:textId="77777777" w:rsidTr="00CE0839">
        <w:trPr>
          <w:trHeight w:val="284"/>
        </w:trPr>
        <w:tc>
          <w:tcPr>
            <w:tcW w:w="4795" w:type="dxa"/>
          </w:tcPr>
          <w:p w14:paraId="289F0BD8" w14:textId="178C6296" w:rsidR="001E20C1" w:rsidRPr="00ED3C82" w:rsidRDefault="001E20C1" w:rsidP="00ED3C82">
            <w:pPr>
              <w:pStyle w:val="Tabeludfyldningiret"/>
              <w:jc w:val="left"/>
              <w:rPr>
                <w:b/>
                <w:bCs/>
              </w:rPr>
            </w:pPr>
            <w:r w:rsidRPr="00ED3C82">
              <w:rPr>
                <w:b/>
                <w:bCs/>
              </w:rPr>
              <w:t>I alt</w:t>
            </w:r>
          </w:p>
        </w:tc>
        <w:tc>
          <w:tcPr>
            <w:tcW w:w="1070" w:type="dxa"/>
            <w:noWrap/>
          </w:tcPr>
          <w:p w14:paraId="78962D30" w14:textId="155D2E38" w:rsidR="001E20C1" w:rsidRPr="00E13C26" w:rsidRDefault="001E20C1" w:rsidP="00E13C26">
            <w:pPr>
              <w:pStyle w:val="Tabeludfyldningiret"/>
              <w:rPr>
                <w:b/>
                <w:bCs/>
              </w:rPr>
            </w:pPr>
            <w:r w:rsidRPr="00E13C26">
              <w:rPr>
                <w:b/>
                <w:bCs/>
              </w:rPr>
              <w:t>-3.356</w:t>
            </w:r>
          </w:p>
        </w:tc>
        <w:tc>
          <w:tcPr>
            <w:tcW w:w="1070" w:type="dxa"/>
            <w:noWrap/>
          </w:tcPr>
          <w:p w14:paraId="345094D5" w14:textId="01BA16C7" w:rsidR="001E20C1" w:rsidRPr="00E13C26" w:rsidRDefault="003233A7" w:rsidP="00E13C26">
            <w:pPr>
              <w:pStyle w:val="Tabeludfyldningiret"/>
              <w:rPr>
                <w:b/>
                <w:bCs/>
              </w:rPr>
            </w:pPr>
            <w:r w:rsidRPr="00E13C26">
              <w:rPr>
                <w:b/>
                <w:bCs/>
              </w:rPr>
              <w:t>-4.</w:t>
            </w:r>
            <w:r w:rsidR="00E13C26" w:rsidRPr="00E13C26">
              <w:rPr>
                <w:b/>
                <w:bCs/>
              </w:rPr>
              <w:t>149</w:t>
            </w:r>
          </w:p>
        </w:tc>
        <w:tc>
          <w:tcPr>
            <w:tcW w:w="1112" w:type="dxa"/>
            <w:noWrap/>
          </w:tcPr>
          <w:p w14:paraId="126A75BD" w14:textId="11BBD06D" w:rsidR="001E20C1" w:rsidRPr="00E13C26" w:rsidRDefault="003233A7" w:rsidP="00E13C26">
            <w:pPr>
              <w:pStyle w:val="Tabeludfyldningiret"/>
              <w:rPr>
                <w:b/>
                <w:bCs/>
              </w:rPr>
            </w:pPr>
            <w:r w:rsidRPr="00E13C26">
              <w:rPr>
                <w:b/>
                <w:bCs/>
              </w:rPr>
              <w:t>-3.</w:t>
            </w:r>
            <w:r w:rsidR="00E13C26" w:rsidRPr="00E13C26">
              <w:rPr>
                <w:b/>
                <w:bCs/>
              </w:rPr>
              <w:t>785</w:t>
            </w:r>
          </w:p>
        </w:tc>
        <w:tc>
          <w:tcPr>
            <w:tcW w:w="1112" w:type="dxa"/>
          </w:tcPr>
          <w:p w14:paraId="19339CA5" w14:textId="5E6F0BED" w:rsidR="001E20C1" w:rsidRPr="00E13C26" w:rsidRDefault="003233A7" w:rsidP="00E13C26">
            <w:pPr>
              <w:pStyle w:val="Tabeludfyldningiret"/>
              <w:rPr>
                <w:b/>
                <w:bCs/>
              </w:rPr>
            </w:pPr>
            <w:r w:rsidRPr="00E13C26">
              <w:rPr>
                <w:b/>
                <w:bCs/>
              </w:rPr>
              <w:t>-3.</w:t>
            </w:r>
            <w:r w:rsidR="00E13C26" w:rsidRPr="00E13C26">
              <w:rPr>
                <w:b/>
                <w:bCs/>
              </w:rPr>
              <w:t>759</w:t>
            </w:r>
          </w:p>
        </w:tc>
        <w:tc>
          <w:tcPr>
            <w:tcW w:w="1070" w:type="dxa"/>
            <w:noWrap/>
          </w:tcPr>
          <w:p w14:paraId="6C0D1645" w14:textId="2B00638F" w:rsidR="001E20C1" w:rsidRPr="00E13C26" w:rsidRDefault="003233A7" w:rsidP="00E13C26">
            <w:pPr>
              <w:pStyle w:val="Tabeludfyldningiret"/>
              <w:rPr>
                <w:b/>
                <w:bCs/>
              </w:rPr>
            </w:pPr>
            <w:r w:rsidRPr="00E13C26">
              <w:rPr>
                <w:b/>
                <w:bCs/>
              </w:rPr>
              <w:t>-3.</w:t>
            </w:r>
            <w:r w:rsidR="00E13C26" w:rsidRPr="00E13C26">
              <w:rPr>
                <w:b/>
                <w:bCs/>
              </w:rPr>
              <w:t>823</w:t>
            </w:r>
          </w:p>
        </w:tc>
      </w:tr>
      <w:tr w:rsidR="001E20C1" w:rsidRPr="00C15B55" w14:paraId="3BAF5536" w14:textId="77777777" w:rsidTr="00CE0839">
        <w:trPr>
          <w:trHeight w:val="284"/>
        </w:trPr>
        <w:tc>
          <w:tcPr>
            <w:tcW w:w="4795" w:type="dxa"/>
          </w:tcPr>
          <w:p w14:paraId="4E29217A" w14:textId="683A5692" w:rsidR="001E20C1" w:rsidRPr="00ED3C82" w:rsidRDefault="001E20C1" w:rsidP="00ED3C82">
            <w:pPr>
              <w:pStyle w:val="Tabeludfyldningiret"/>
              <w:jc w:val="left"/>
            </w:pPr>
            <w:r w:rsidRPr="00ED3C82">
              <w:t>Ændring i forhold til Budget 2025</w:t>
            </w:r>
          </w:p>
        </w:tc>
        <w:tc>
          <w:tcPr>
            <w:tcW w:w="1070" w:type="dxa"/>
            <w:noWrap/>
          </w:tcPr>
          <w:p w14:paraId="1AF62A2D" w14:textId="16D701C9" w:rsidR="001E20C1" w:rsidRPr="00E13C26" w:rsidRDefault="001E20C1" w:rsidP="00E13C26">
            <w:pPr>
              <w:pStyle w:val="Tabeludfyldningiret"/>
            </w:pPr>
            <w:r w:rsidRPr="00E13C26">
              <w:t>0</w:t>
            </w:r>
          </w:p>
        </w:tc>
        <w:tc>
          <w:tcPr>
            <w:tcW w:w="1070" w:type="dxa"/>
            <w:noWrap/>
          </w:tcPr>
          <w:p w14:paraId="70BCC68E" w14:textId="0203507E" w:rsidR="001E20C1" w:rsidRPr="00E13C26" w:rsidRDefault="003233A7" w:rsidP="00E13C26">
            <w:pPr>
              <w:pStyle w:val="Tabeludfyldningiret"/>
            </w:pPr>
            <w:r w:rsidRPr="00E13C26">
              <w:t>-</w:t>
            </w:r>
            <w:r w:rsidR="00E13C26" w:rsidRPr="00E13C26">
              <w:t>172</w:t>
            </w:r>
          </w:p>
        </w:tc>
        <w:tc>
          <w:tcPr>
            <w:tcW w:w="1112" w:type="dxa"/>
            <w:noWrap/>
          </w:tcPr>
          <w:p w14:paraId="151A16FF" w14:textId="364FD264" w:rsidR="001E20C1" w:rsidRPr="00E13C26" w:rsidRDefault="00E13C26" w:rsidP="00E13C26">
            <w:pPr>
              <w:pStyle w:val="Tabeludfyldningiret"/>
            </w:pPr>
            <w:r w:rsidRPr="00E13C26">
              <w:t>297</w:t>
            </w:r>
          </w:p>
        </w:tc>
        <w:tc>
          <w:tcPr>
            <w:tcW w:w="1112" w:type="dxa"/>
          </w:tcPr>
          <w:p w14:paraId="24F0ED36" w14:textId="1CF9352F" w:rsidR="001E20C1" w:rsidRPr="00E13C26" w:rsidRDefault="00E13C26" w:rsidP="00E13C26">
            <w:pPr>
              <w:pStyle w:val="Tabeludfyldningiret"/>
            </w:pPr>
            <w:r w:rsidRPr="00E13C26">
              <w:t>923</w:t>
            </w:r>
          </w:p>
        </w:tc>
        <w:tc>
          <w:tcPr>
            <w:tcW w:w="1070" w:type="dxa"/>
            <w:noWrap/>
          </w:tcPr>
          <w:p w14:paraId="49C8E96A" w14:textId="516C38C9" w:rsidR="001E20C1" w:rsidRPr="00E13C26" w:rsidRDefault="001E20C1" w:rsidP="00E13C26">
            <w:pPr>
              <w:pStyle w:val="Tabeludfyldningiret"/>
            </w:pPr>
            <w:r w:rsidRPr="00E13C26">
              <w:t>-</w:t>
            </w:r>
          </w:p>
        </w:tc>
      </w:tr>
    </w:tbl>
    <w:p w14:paraId="5EC77081" w14:textId="77777777" w:rsidR="005F55FB" w:rsidRPr="00C15B55" w:rsidRDefault="005F55FB" w:rsidP="005F55FB">
      <w:pPr>
        <w:tabs>
          <w:tab w:val="left" w:pos="4670"/>
        </w:tabs>
        <w:spacing w:line="260" w:lineRule="atLeast"/>
        <w:rPr>
          <w:rFonts w:cs="Arial"/>
          <w:color w:val="FF0000"/>
        </w:rPr>
      </w:pPr>
    </w:p>
    <w:p w14:paraId="10A42B60" w14:textId="77777777" w:rsidR="00547D7B" w:rsidRPr="0042402A" w:rsidRDefault="00547D7B" w:rsidP="0042402A">
      <w:pPr>
        <w:pStyle w:val="Overskrift1"/>
      </w:pPr>
      <w:bookmarkStart w:id="20" w:name="_Toc212451866"/>
      <w:r w:rsidRPr="0042402A">
        <w:t>Finansforskydninger</w:t>
      </w:r>
      <w:bookmarkEnd w:id="20"/>
    </w:p>
    <w:p w14:paraId="0520AB64" w14:textId="09AC54EC" w:rsidR="00547D7B" w:rsidRPr="00764325" w:rsidRDefault="00547D7B" w:rsidP="0042402A">
      <w:r w:rsidRPr="00764325">
        <w:t>Med finansforskydninger (</w:t>
      </w:r>
      <w:r w:rsidR="001C6C5E" w:rsidRPr="00764325">
        <w:t>b</w:t>
      </w:r>
      <w:r w:rsidRPr="00764325">
        <w:t>alanceforskydninger) menes årets forskydninger i beholdningerne af aktiver og passiver, herunder forbrug af likvide aktiver og optagelse af lån.</w:t>
      </w:r>
    </w:p>
    <w:p w14:paraId="515BC091" w14:textId="77777777" w:rsidR="00547D7B" w:rsidRPr="00764325" w:rsidRDefault="00547D7B" w:rsidP="0042402A">
      <w:r w:rsidRPr="00764325">
        <w:lastRenderedPageBreak/>
        <w:t xml:space="preserve">Der er en snæver sammenhæng mellem hovedkonto 8 balanceforskydninger og hovedkonto 9 finansiel status. Der er derudover tæt sammenhæng mellem forbruget af likvide aktiver, optagelsen af lån samt udviklingen i renteudgifterne på hovedkonto 7. </w:t>
      </w:r>
    </w:p>
    <w:p w14:paraId="47F75F14" w14:textId="0C5E1E46" w:rsidR="00547D7B" w:rsidRPr="00764325" w:rsidRDefault="00547D7B" w:rsidP="0042402A">
      <w:r w:rsidRPr="00764325">
        <w:t>Kommunernes balanceforskydninger er reguleret af en lang række love, cirkulærer og bekendtgørelser.  Af de væsentligste love m.v., som har betydning for likvide aktiver og lån</w:t>
      </w:r>
      <w:r w:rsidR="001C6C5E" w:rsidRPr="00764325">
        <w:t>,</w:t>
      </w:r>
      <w:r w:rsidRPr="00764325">
        <w:t xml:space="preserve"> kan nævnes:</w:t>
      </w:r>
    </w:p>
    <w:p w14:paraId="78076B63" w14:textId="77777777" w:rsidR="00547D7B" w:rsidRPr="0042402A" w:rsidRDefault="00547D7B" w:rsidP="0042402A">
      <w:pPr>
        <w:pStyle w:val="Punktopstillingspalte"/>
      </w:pPr>
      <w:r w:rsidRPr="0042402A">
        <w:t>Lov om kommunernes styrelse, § 44 vedrørende placeringen af kommunernes likvide aktiver.</w:t>
      </w:r>
    </w:p>
    <w:p w14:paraId="4FAFAF19" w14:textId="77777777" w:rsidR="00547D7B" w:rsidRPr="0042402A" w:rsidRDefault="00547D7B" w:rsidP="0042402A">
      <w:pPr>
        <w:pStyle w:val="Punktopstillingspalte"/>
      </w:pPr>
      <w:r w:rsidRPr="0042402A">
        <w:t xml:space="preserve">Bekendtgørelse om kommunernes låntagning og meddelelse af garantier m.v. </w:t>
      </w:r>
    </w:p>
    <w:p w14:paraId="21DD2EEC" w14:textId="77777777" w:rsidR="00547D7B" w:rsidRPr="0042402A" w:rsidRDefault="00547D7B" w:rsidP="0042402A">
      <w:pPr>
        <w:pStyle w:val="Punktopstillingspalte"/>
      </w:pPr>
      <w:r w:rsidRPr="0042402A">
        <w:t>Lov om midlertidig binding af kommunernes overskudslikviditet.</w:t>
      </w:r>
    </w:p>
    <w:p w14:paraId="3D5DC93C" w14:textId="77777777" w:rsidR="00547D7B" w:rsidRPr="0042402A" w:rsidRDefault="00547D7B" w:rsidP="0042402A">
      <w:pPr>
        <w:pStyle w:val="Punktopstillingspalte"/>
      </w:pPr>
      <w:r w:rsidRPr="0042402A">
        <w:t xml:space="preserve">Bekendtgørelse om kommunernes låntagning og meddelelse af garantier m.v. </w:t>
      </w:r>
    </w:p>
    <w:p w14:paraId="51FDD0CC" w14:textId="77777777" w:rsidR="00547D7B" w:rsidRPr="0042402A" w:rsidRDefault="00547D7B" w:rsidP="0042402A">
      <w:pPr>
        <w:pStyle w:val="Punktopstillingspalte"/>
      </w:pPr>
      <w:r w:rsidRPr="0042402A">
        <w:t>Den årlige aftale mellem KL og regeringen om kommunernes økonomi.</w:t>
      </w:r>
    </w:p>
    <w:p w14:paraId="113FFF53" w14:textId="4F99A67B" w:rsidR="00547D7B" w:rsidRPr="00764325" w:rsidRDefault="00547D7B" w:rsidP="00676017">
      <w:r w:rsidRPr="00764325">
        <w:t xml:space="preserve">Den overordnede målsætning for kommunes aktiver og passiver under </w:t>
      </w:r>
      <w:r w:rsidR="001C6C5E" w:rsidRPr="00764325">
        <w:t>é</w:t>
      </w:r>
      <w:r w:rsidRPr="00764325">
        <w:t>t er, at d</w:t>
      </w:r>
      <w:r w:rsidR="0042402A">
        <w:t xml:space="preserve">e skal </w:t>
      </w:r>
      <w:r w:rsidRPr="00764325">
        <w:t xml:space="preserve">sammensættes på den mest hensigtsmæssige måde set i forhold til kommunens generelle økonomiske situation og budgetter, jf. Aarhus Kommunes Økonomiske politik og Finansielle strategi. </w:t>
      </w:r>
    </w:p>
    <w:p w14:paraId="5F32C521" w14:textId="6523F5C4" w:rsidR="00547D7B" w:rsidRPr="00764325" w:rsidRDefault="00547D7B" w:rsidP="00676017">
      <w:r w:rsidRPr="00764325">
        <w:t>For kommunens aktiver er den overordnede målsætning, at aktiverne placeres på en sådan måde, at der opnås den størst mulige forventede forrentning under hensyntagen til risici samtidig med, at der herunder opnås den størst mulige sikkerhed mod tab. Ligeledes skal aktiverne placeres under hensyntagen til retningslinjerne for ansvarlig</w:t>
      </w:r>
      <w:r w:rsidR="001C6C5E" w:rsidRPr="00764325">
        <w:t>e</w:t>
      </w:r>
      <w:r w:rsidRPr="00764325">
        <w:t xml:space="preserve"> investering</w:t>
      </w:r>
      <w:r w:rsidR="001C6C5E" w:rsidRPr="00764325">
        <w:t>er</w:t>
      </w:r>
      <w:r w:rsidRPr="00764325">
        <w:t>.</w:t>
      </w:r>
    </w:p>
    <w:p w14:paraId="39C162BF" w14:textId="77777777" w:rsidR="00547D7B" w:rsidRPr="00764325" w:rsidRDefault="00547D7B" w:rsidP="00676017">
      <w:r w:rsidRPr="00764325">
        <w:t xml:space="preserve">For kommunens passiver er den overordnede målsætning at minimere finansieringsomkostningerne ved lånoptagelse under hensyntagen til risici, ønsket om budget- og projektsikkerhed og kommunens økonomiske situation generelt. Lånoptagelse medvirker til at sikre tilstrækkelig likviditet. </w:t>
      </w:r>
    </w:p>
    <w:p w14:paraId="4AF61878" w14:textId="77777777" w:rsidR="00547D7B" w:rsidRPr="00764325" w:rsidRDefault="00547D7B" w:rsidP="00676017">
      <w:r w:rsidRPr="00764325">
        <w:t xml:space="preserve">Aarhus Kommune har som overordnet målsætning for likviditeten, at der til enhver tid skal være en samlet likviditet opgjort efter kassekreditreglen på minimum 5.000 kr. pr. indbygger, jf. den økonomiske politik. </w:t>
      </w:r>
    </w:p>
    <w:p w14:paraId="5E15A0B0" w14:textId="77777777" w:rsidR="00547D7B" w:rsidRPr="00764325" w:rsidRDefault="00547D7B" w:rsidP="00676017">
      <w:r w:rsidRPr="00764325">
        <w:t>Målsætningen skal sikre fleksibilitet og handlemuligheder i kommunens samlede økonomi, samt sikre en robusthed i likviditeten overfor uforudsete begivenheder. Der er forskellige niveauer, der kræver forskellige tiltag. Et gennemsnitligt niveau på under 2.500 kr. pr. indbygger vil kræve væsentlige økonomiske tiltag med henblik på at styrke og sikre en tilstrækkelig likviditet, jf. den finansielle strategi.</w:t>
      </w:r>
    </w:p>
    <w:p w14:paraId="7EC26BC1" w14:textId="77777777" w:rsidR="00547D7B" w:rsidRPr="00764325" w:rsidRDefault="00547D7B" w:rsidP="00676017">
      <w:r w:rsidRPr="00764325">
        <w:t>Udviklingen i de likvide aktiver er dels bestemt af budgetterede kassehenlæggelser og kassetræk, dels af en række uforudsete eller ikke planlagte hændelser.</w:t>
      </w:r>
    </w:p>
    <w:p w14:paraId="03ACD9EE" w14:textId="77777777" w:rsidR="00547D7B" w:rsidRPr="00764325" w:rsidRDefault="00547D7B" w:rsidP="00676017">
      <w:r w:rsidRPr="00764325">
        <w:t>Kasseændringerne skal derfor ses i sammenhæng med udviklingen i kommunens økonomi generelt (finansiering af overskud/underskud), men også i sammenhæng med, at forskydninger i udgifter fra et år til et andet år har stor betydning for størrelsen af kasseændringerne.</w:t>
      </w:r>
    </w:p>
    <w:p w14:paraId="19313B08" w14:textId="77777777" w:rsidR="00547D7B" w:rsidRPr="00764325" w:rsidRDefault="00547D7B" w:rsidP="00676017">
      <w:r w:rsidRPr="00764325">
        <w:t>Der skal gøres opmærksom på, at der er en sammenhæng mellem de seneste års udvikling i likviditeten og optagelsen af langfristede lån, idet man styrker eller svækker likviditeten alt efter, hvor meget lånemulighederne udnyttes.</w:t>
      </w:r>
    </w:p>
    <w:p w14:paraId="10B264E5" w14:textId="77777777" w:rsidR="00547D7B" w:rsidRPr="00764325" w:rsidRDefault="00547D7B" w:rsidP="00676017">
      <w:r w:rsidRPr="00764325">
        <w:t>Likvide aktiver søges holdt på et niveau, der tilgodeser muligheden for at dække sæsonsvingninger i kommunens udgifter, samt i et rimeligt omfang uforudsete hændelser, og vil i øvrigt være stærkt påvirket af afvigelser mellem budget og regnskab i de enkelte år.</w:t>
      </w:r>
    </w:p>
    <w:p w14:paraId="59486691" w14:textId="77777777" w:rsidR="00271349" w:rsidRPr="00676017" w:rsidRDefault="00271349" w:rsidP="00676017">
      <w:pPr>
        <w:pStyle w:val="Overskrift2"/>
      </w:pPr>
      <w:bookmarkStart w:id="21" w:name="_Toc212451867"/>
      <w:bookmarkEnd w:id="0"/>
      <w:bookmarkEnd w:id="4"/>
      <w:r w:rsidRPr="00676017">
        <w:lastRenderedPageBreak/>
        <w:t>Forskydninger i likvide aktiver</w:t>
      </w:r>
      <w:bookmarkEnd w:id="21"/>
    </w:p>
    <w:p w14:paraId="4993B758" w14:textId="77777777" w:rsidR="00271349" w:rsidRPr="00F850E2" w:rsidRDefault="00271349" w:rsidP="00676017">
      <w:r w:rsidRPr="00F850E2">
        <w:t xml:space="preserve">Der er betydelige usikkerheder forbundet med at skønne over gennemsnitslikviditeten gennem hele budgetperioden, da den påvirkes af en række pt. ukendte faktorer, herunder tidsmæssige forskydninger i opsparing, anlægsudgifter og -indtægter, fremtidige låneadgange mm. </w:t>
      </w:r>
    </w:p>
    <w:p w14:paraId="42ED8FAC" w14:textId="77777777" w:rsidR="00271349" w:rsidRPr="00F850E2" w:rsidRDefault="00271349" w:rsidP="00676017">
      <w:r w:rsidRPr="00F850E2">
        <w:t>Gennemsnitslikviditeten opgjort efter kassekreditregelen er aktuelt (30. september 2025) på ca. 4,7 mia. kr. - og dermed i ”det grønne område”, som i kommunens økonomiske politik er fastlagt til mere end 5.000 kr. pr. indbygger. Likviditeten forventes at være stigende i løbet af budgetperioden, og holde sig i det ”grønne område”. Den vigtigste forklaring på, at der forventes en stigning i gennemsnitslikviditeten, er udskudt anlæg samt stigende afkast på kapitalforvaltning.</w:t>
      </w:r>
    </w:p>
    <w:p w14:paraId="2EAD981F" w14:textId="77777777" w:rsidR="00271349" w:rsidRPr="00841B24" w:rsidRDefault="00271349" w:rsidP="00676017">
      <w:bookmarkStart w:id="22" w:name="_Hlk55311802"/>
      <w:r w:rsidRPr="00841B24">
        <w:t xml:space="preserve">Der er samlet budgetteret med et kasseforbrug i budgetperioden 2025 til 2029 på i alt 3,1 mia. kr. (forbrug af kassebeholdningen). Med en kassebeholdning ultimo 2024 på 2,8 mia. kr. vil kassebeholdningen ultimo 2029 være på ca. -0,3 mia. kr. </w:t>
      </w:r>
    </w:p>
    <w:bookmarkEnd w:id="22"/>
    <w:p w14:paraId="54B1A08C" w14:textId="77777777" w:rsidR="00271349" w:rsidRPr="00841B24" w:rsidRDefault="00271349" w:rsidP="00676017">
      <w:r w:rsidRPr="00841B24">
        <w:t xml:space="preserve">Forbruget af likvide aktiver er budgetteret med udgangspunkt i kendte beslutninger og forudsætninger om fx forbrug af opsparing på de decentraliserede områder, samt disponering af budgetlagte beløb til større infrastrukturprojekter. Erfaringsmæssigt har det vist sig, at der er en overvurdering af forbruget i det korrigerede budget (aktuelt vedrørende 2025) på grund af tidsforskydninger af udgifter m.v. </w:t>
      </w:r>
    </w:p>
    <w:p w14:paraId="3D68F90B" w14:textId="692DE43F" w:rsidR="00271349" w:rsidRPr="00841B24" w:rsidRDefault="00271349" w:rsidP="00676017">
      <w:r w:rsidRPr="00841B24">
        <w:t>Hertil kommer, at den gennemsnitlige kassebeholdning, målt som et løbende gennemsnit over de sidste 365 dage erfaringsmæssigt er større end ultimo kassebeholdningen. Disse forhold bevirker tilsammen, at kassebeholdningen forventes at have et højere niveau i hele budgetperioden, end det umiddelbart fremgår ovenfor. De rentemæssige konsekvenser af denne mere gunstige forventning til kassebeholdningen er indarbejdet i budgettet. Likviditetsudviklingen vil dog blive fuldt nøje i hele budgetperioden, og blive</w:t>
      </w:r>
      <w:r w:rsidR="00676017">
        <w:t>r</w:t>
      </w:r>
      <w:r w:rsidRPr="00841B24">
        <w:t xml:space="preserve"> afrapporteret til byrådet via løbende kvartalsoversigter. </w:t>
      </w:r>
    </w:p>
    <w:p w14:paraId="7F270132" w14:textId="77777777" w:rsidR="00271349" w:rsidRPr="00FB1B5E" w:rsidRDefault="00271349" w:rsidP="00676017">
      <w:bookmarkStart w:id="23" w:name="_Hlk55311844"/>
      <w:r w:rsidRPr="00FB1B5E">
        <w:t>Korrigeres der for ovenstående vil kasseforbruget i hele perioden 2025 til 2029 være ca. 2,</w:t>
      </w:r>
      <w:r>
        <w:t>4</w:t>
      </w:r>
      <w:r w:rsidRPr="00FB1B5E">
        <w:t xml:space="preserve"> mia. kr. og således en forventet kassebeholdning ultimo 2029 på ca. 0,</w:t>
      </w:r>
      <w:r>
        <w:t>4</w:t>
      </w:r>
      <w:r w:rsidRPr="00FB1B5E">
        <w:t xml:space="preserve"> mia. kr. og en forventet gennemsnitlig likviditet på ca. 1,</w:t>
      </w:r>
      <w:r>
        <w:t>7</w:t>
      </w:r>
      <w:r w:rsidRPr="00FB1B5E">
        <w:t xml:space="preserve"> mia. kr.</w:t>
      </w:r>
      <w:bookmarkEnd w:id="23"/>
    </w:p>
    <w:p w14:paraId="1665D214" w14:textId="387A4797" w:rsidR="00271349" w:rsidRPr="00FB1B5E" w:rsidRDefault="008B6630" w:rsidP="00676017">
      <w:r>
        <w:t>Indenrigs- og Sundhedsm</w:t>
      </w:r>
      <w:r w:rsidR="00271349" w:rsidRPr="00FB1B5E">
        <w:t xml:space="preserve">inisteriets krav til </w:t>
      </w:r>
      <w:r>
        <w:t xml:space="preserve">en positiv </w:t>
      </w:r>
      <w:r w:rsidR="00271349" w:rsidRPr="00FB1B5E">
        <w:t>gennemsnitlig kassebeholdning</w:t>
      </w:r>
      <w:r>
        <w:t xml:space="preserve"> set over løbende 365 dage </w:t>
      </w:r>
      <w:r w:rsidR="00271349" w:rsidRPr="00FB1B5E">
        <w:t xml:space="preserve">vil dermed være overholdt i budgetperioden. </w:t>
      </w:r>
    </w:p>
    <w:p w14:paraId="5B3906EE" w14:textId="77777777" w:rsidR="00271349" w:rsidRPr="008B6630" w:rsidRDefault="00271349" w:rsidP="008B6630">
      <w:pPr>
        <w:pStyle w:val="Overskrift2"/>
      </w:pPr>
      <w:bookmarkStart w:id="24" w:name="_Toc212451868"/>
      <w:r w:rsidRPr="008B6630">
        <w:t>Lån</w:t>
      </w:r>
      <w:bookmarkEnd w:id="24"/>
    </w:p>
    <w:p w14:paraId="35CBC51C" w14:textId="77777777" w:rsidR="00271349" w:rsidRPr="00A00B6D" w:rsidRDefault="00271349" w:rsidP="002C71EF">
      <w:r w:rsidRPr="00A00B6D">
        <w:t xml:space="preserve">Nettolånoptagelsen (omfattende ældreboliger, “hvile-i-sig-selv”-området, samt det skattefinansierede område) og inkl. afdrag i perioden udgør ca. 1.865 mio. kr. (dvs. nettoafdrag) i perioden 2025-2029. </w:t>
      </w:r>
    </w:p>
    <w:p w14:paraId="6555852F" w14:textId="77777777" w:rsidR="00271349" w:rsidRPr="006347CB" w:rsidRDefault="00271349" w:rsidP="002C71EF">
      <w:r w:rsidRPr="006347CB">
        <w:t>Set i relation til kommunens skattefinansierede gæld og den finansielle egenkapital er det dog udviklingen i nettolåntagningen på det skattefinansierede område, der er relevant. På det skattefinansierede område (dvs. ekskl. ældreboliger og “hvile-i-sig-selv”-områderne) budgetteres med en nettolånoptagelse på 1.14</w:t>
      </w:r>
      <w:r>
        <w:t>4</w:t>
      </w:r>
      <w:r w:rsidRPr="006347CB">
        <w:t xml:space="preserve"> mio. kr. i budgetperioden 2025-2029 under ét (dvs. nettoafdrag). Det består af afdrag på i alt 1.203 mio. kr., og en fuld udnyttelse af lånemulighederne via Aarhus Kommunes låneramme på i alt 59 mio. kr.</w:t>
      </w:r>
    </w:p>
    <w:p w14:paraId="1CE336E4" w14:textId="77777777" w:rsidR="00271349" w:rsidRPr="00442D00" w:rsidRDefault="00271349" w:rsidP="00442D00">
      <w:pPr>
        <w:pStyle w:val="Overskrift2"/>
      </w:pPr>
      <w:bookmarkStart w:id="25" w:name="_Toc212451869"/>
      <w:r w:rsidRPr="00442D00">
        <w:lastRenderedPageBreak/>
        <w:t>Forskydninger i langfristede tilgodehavender og øvrige finansforskydninger</w:t>
      </w:r>
      <w:bookmarkEnd w:id="25"/>
    </w:p>
    <w:p w14:paraId="53BD81FF" w14:textId="77777777" w:rsidR="00271349" w:rsidRPr="009614B0" w:rsidRDefault="00271349" w:rsidP="00442D00">
      <w:r w:rsidRPr="009614B0">
        <w:t>Nettoudgiften til forskydninger i langfristede tilgodehavender kan primært henføres til følgende forhold:</w:t>
      </w:r>
    </w:p>
    <w:p w14:paraId="2831042E" w14:textId="77777777" w:rsidR="00271349" w:rsidRPr="009614B0" w:rsidRDefault="00271349" w:rsidP="00442D00">
      <w:r w:rsidRPr="009614B0">
        <w:t xml:space="preserve">Indskud i Landsbyggefonden, der består af udlån til fonden til finansiering af almennyttigt boligbyggeri og til særstøtte til boligforeningsafdelinger med særlige vanskeligheder. </w:t>
      </w:r>
    </w:p>
    <w:p w14:paraId="7B7A2BCE" w14:textId="77777777" w:rsidR="00271349" w:rsidRPr="009614B0" w:rsidRDefault="00271349" w:rsidP="00442D00">
      <w:r w:rsidRPr="009614B0">
        <w:t xml:space="preserve">Indskuddet i Landsbyggefonden har varieret fra år til år. I 2025 og 2026 er det kommunale grundtilskud differentieret efter den gennemsnitlige boligstørrelse for familieboliger og vil således være mellem 8 og 12% afhængig af boligstørrelsen. Det kommunale grundtilskud for ældre- og ungdomsboliger er fastsat til 10%. </w:t>
      </w:r>
    </w:p>
    <w:p w14:paraId="18EF6889" w14:textId="1D98538C" w:rsidR="00271349" w:rsidRPr="009614B0" w:rsidRDefault="00271349" w:rsidP="00442D00">
      <w:r w:rsidRPr="009614B0">
        <w:t xml:space="preserve">Der er budgetteret med nettoudgifter, </w:t>
      </w:r>
      <w:r w:rsidR="00442D00">
        <w:t>som</w:t>
      </w:r>
      <w:r w:rsidRPr="009614B0">
        <w:t xml:space="preserve"> er et resultat af forskydninger i aktiver vedrørende fonde og legater, indtægter vedrørende beboerindskud i ældreboliger og øvrige forskydninger i kortfristet gæld.</w:t>
      </w:r>
    </w:p>
    <w:p w14:paraId="338A1C6C" w14:textId="77777777" w:rsidR="00271349" w:rsidRPr="009614B0" w:rsidRDefault="00271349" w:rsidP="00442D00">
      <w:r w:rsidRPr="009614B0">
        <w:t>Herudover er der budgetteret med optagelse og indfrielse af byggekreditter til ældreboliger i budgetperioden.</w:t>
      </w:r>
    </w:p>
    <w:p w14:paraId="54712E1B" w14:textId="77777777" w:rsidR="00271349" w:rsidRPr="00442D00" w:rsidRDefault="00271349" w:rsidP="00442D00">
      <w:pPr>
        <w:pStyle w:val="Overskrift3"/>
      </w:pPr>
      <w:r w:rsidRPr="00442D00">
        <w:t>Ny ferielov - Funktion 8.55.73</w:t>
      </w:r>
    </w:p>
    <w:p w14:paraId="1502979B" w14:textId="77777777" w:rsidR="00271349" w:rsidRPr="009614B0" w:rsidRDefault="00271349" w:rsidP="00442D00">
      <w:r w:rsidRPr="009614B0">
        <w:t xml:space="preserve">Den 1. september 2020 trådte den nye ferielov i kraft. Loven ændrer på perioderne for optjening og afvikling af ferie. Der er i forlængelse heraf besluttet, at ferie optjent i perioden 1. september 2019 til 31. august 2020 indefryses i Lønmodtagernes fond for tilgodehavende feriemidler. </w:t>
      </w:r>
    </w:p>
    <w:p w14:paraId="1F7EC7F6" w14:textId="77777777" w:rsidR="00271349" w:rsidRPr="009614B0" w:rsidRDefault="00271349" w:rsidP="00442D00">
      <w:r w:rsidRPr="009614B0">
        <w:t xml:space="preserve">Midlerne bliver som hovedregel udbetalt til medarbejderen fra fonden, når vedkommende når folkepensionsalderen. Aarhus Kommune skal senest indbetale til fonden, når medarbejderen når pensionsalderen. Der er mulighed for at indbetale tidligere, hvis Aarhus Kommune ønsker det. Det er aftalt med afdelingerne, at Borgmesterens Afdeling står for indbetalingerne til fonden ud fra likviditets- og rentemæssige overvejelser. Indbetalingerne er finansieret via en reduktion af afdelingernes rammer over de næste 40 år. Rammereduktionen svarer til afdelingernes respektive gennemsnitlige forpligtelser over 40 år. </w:t>
      </w:r>
    </w:p>
    <w:p w14:paraId="5DC9FA1D" w14:textId="77777777" w:rsidR="00271349" w:rsidRPr="009614B0" w:rsidRDefault="00271349" w:rsidP="00442D00">
      <w:r w:rsidRPr="009614B0">
        <w:t xml:space="preserve">Kommunernes forpligtelse indekseres løbende. Ved regnskab 2024 var Aarhus Kommunes samlede forpligtelse til lønmodtagernes feriemidler 1.017 mio. kr. </w:t>
      </w:r>
    </w:p>
    <w:p w14:paraId="288D0AE5" w14:textId="77777777" w:rsidR="00271349" w:rsidRPr="009614B0" w:rsidRDefault="00271349" w:rsidP="00442D00">
      <w:r w:rsidRPr="009614B0">
        <w:t>Der kan derfor efterfølgende blive behov for at tilpasse den opgjorte forpligtigelse. Eventuelle merudgifter finansieres af kassen. Modsat tilfalder eventuelle mindreudgifter ligeledes kassen.</w:t>
      </w:r>
    </w:p>
    <w:p w14:paraId="1D0FDEFF" w14:textId="4D337E70" w:rsidR="005771A6" w:rsidRPr="00C15B55" w:rsidRDefault="005771A6" w:rsidP="00271349">
      <w:pPr>
        <w:pStyle w:val="Overskrift2"/>
        <w:rPr>
          <w:color w:val="FF0000"/>
        </w:rPr>
      </w:pPr>
    </w:p>
    <w:sectPr w:rsidR="005771A6" w:rsidRPr="00C15B55" w:rsidSect="00490AF4">
      <w:headerReference w:type="even" r:id="rId13"/>
      <w:headerReference w:type="default" r:id="rId14"/>
      <w:footerReference w:type="even" r:id="rId15"/>
      <w:footerReference w:type="default" r:id="rId16"/>
      <w:type w:val="continuous"/>
      <w:pgSz w:w="11906" w:h="16838"/>
      <w:pgMar w:top="839" w:right="4251" w:bottom="1383" w:left="839" w:header="0" w:footer="0" w:gutter="0"/>
      <w:cols w:space="25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7F08" w14:textId="77777777" w:rsidR="009421DD" w:rsidRDefault="009421DD" w:rsidP="000A4885">
      <w:r>
        <w:separator/>
      </w:r>
    </w:p>
  </w:endnote>
  <w:endnote w:type="continuationSeparator" w:id="0">
    <w:p w14:paraId="3A3A0AD9" w14:textId="77777777" w:rsidR="009421DD" w:rsidRDefault="009421DD" w:rsidP="000A4885">
      <w:r>
        <w:continuationSeparator/>
      </w:r>
    </w:p>
  </w:endnote>
  <w:endnote w:type="continuationNotice" w:id="1">
    <w:p w14:paraId="3B6D3078" w14:textId="77777777" w:rsidR="00292BD0" w:rsidRDefault="00292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5A35" w14:textId="77777777" w:rsidR="009421DD" w:rsidRDefault="009421DD" w:rsidP="000A4885">
    <w:pPr>
      <w:pStyle w:val="Sidefod-format"/>
    </w:pPr>
    <w:r>
      <w:rPr>
        <w:noProof/>
        <w:lang w:eastAsia="da-DK"/>
      </w:rPr>
      <mc:AlternateContent>
        <mc:Choice Requires="wps">
          <w:drawing>
            <wp:anchor distT="0" distB="0" distL="114300" distR="114300" simplePos="0" relativeHeight="251658245" behindDoc="0" locked="0" layoutInCell="1" allowOverlap="1" wp14:anchorId="79850B3D" wp14:editId="000D101C">
              <wp:simplePos x="0" y="0"/>
              <wp:positionH relativeFrom="page">
                <wp:posOffset>5314950</wp:posOffset>
              </wp:positionH>
              <wp:positionV relativeFrom="paragraph">
                <wp:posOffset>-211455</wp:posOffset>
              </wp:positionV>
              <wp:extent cx="1743075" cy="332740"/>
              <wp:effectExtent l="0" t="0" r="9525" b="0"/>
              <wp:wrapNone/>
              <wp:docPr id="28" name="Tekstfel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173A9" w14:textId="77777777" w:rsidR="009421DD" w:rsidRDefault="009421DD" w:rsidP="000A4885">
                          <w:pPr>
                            <w:pStyle w:val="Sidefod-format"/>
                          </w:pPr>
                          <w:r>
                            <w:fldChar w:fldCharType="begin"/>
                          </w:r>
                          <w:r>
                            <w:instrText xml:space="preserve"> PAGE   \* MERGEFORMAT </w:instrText>
                          </w:r>
                          <w:r>
                            <w:fldChar w:fldCharType="separate"/>
                          </w:r>
                          <w:r>
                            <w:rPr>
                              <w:noProof/>
                            </w:rPr>
                            <w:t>14</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850B3D" id="_x0000_t202" coordsize="21600,21600" o:spt="202" path="m,l,21600r21600,l21600,xe">
              <v:stroke joinstyle="miter"/>
              <v:path gradientshapeok="t" o:connecttype="rect"/>
            </v:shapetype>
            <v:shape id="Tekstfelt 28" o:spid="_x0000_s1032" type="#_x0000_t202" style="position:absolute;margin-left:418.5pt;margin-top:-16.65pt;width:137.25pt;height:26.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" stroked="f">
              <v:textbox>
                <w:txbxContent>
                  <w:p w14:paraId="1EB173A9" w14:textId="77777777" w:rsidR="009421DD" w:rsidRDefault="009421DD" w:rsidP="000A4885">
                    <w:pPr>
                      <w:pStyle w:val="Sidefod-format"/>
                    </w:pPr>
                    <w:r>
                      <w:fldChar w:fldCharType="begin"/>
                    </w:r>
                    <w:r>
                      <w:instrText xml:space="preserve"> PAGE   \* MERGEFORMAT </w:instrText>
                    </w:r>
                    <w:r>
                      <w:fldChar w:fldCharType="separate"/>
                    </w:r>
                    <w:r>
                      <w:rPr>
                        <w:noProof/>
                      </w:rPr>
                      <w:t>14</w:t>
                    </w:r>
                    <w:r>
                      <w:rPr>
                        <w:noProof/>
                      </w:rPr>
                      <w:fldChar w:fldCharType="end"/>
                    </w:r>
                    <w:r>
                      <w:rPr>
                        <w:noProof/>
                      </w:rPr>
                      <w:t xml:space="preserve">   AARHUS KOMMUNE</w:t>
                    </w:r>
                  </w:p>
                </w:txbxContent>
              </v:textbox>
              <w10:wrap anchorx="page"/>
            </v:shape>
          </w:pict>
        </mc:Fallback>
      </mc:AlternateContent>
    </w:r>
    <w:r>
      <w:rPr>
        <w:noProof/>
        <w:lang w:eastAsia="da-DK"/>
      </w:rPr>
      <mc:AlternateContent>
        <mc:Choice Requires="wps">
          <w:drawing>
            <wp:anchor distT="0" distB="0" distL="114300" distR="114300" simplePos="0" relativeHeight="251658243" behindDoc="0" locked="0" layoutInCell="1" allowOverlap="1" wp14:anchorId="102FB9D9" wp14:editId="11F96BBD">
              <wp:simplePos x="0" y="0"/>
              <wp:positionH relativeFrom="column">
                <wp:posOffset>-2281555</wp:posOffset>
              </wp:positionH>
              <wp:positionV relativeFrom="paragraph">
                <wp:posOffset>11430</wp:posOffset>
              </wp:positionV>
              <wp:extent cx="1707515" cy="256540"/>
              <wp:effectExtent l="0" t="0" r="2540" b="1270"/>
              <wp:wrapNone/>
              <wp:docPr id="19" name="Tekstfel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56540"/>
                      </a:xfrm>
                      <a:prstGeom prst="rect">
                        <a:avLst/>
                      </a:prstGeom>
                      <a:solidFill>
                        <a:srgbClr val="FFFFFF"/>
                      </a:solidFill>
                      <a:ln w="9525">
                        <a:noFill/>
                        <a:miter lim="800000"/>
                        <a:headEnd/>
                        <a:tailEnd/>
                      </a:ln>
                    </wps:spPr>
                    <wps:txbx>
                      <w:txbxContent>
                        <w:p w14:paraId="09B740AA" w14:textId="77777777" w:rsidR="009421DD" w:rsidRDefault="009421DD" w:rsidP="000A4885">
                          <w:pPr>
                            <w:pStyle w:val="Sidefod-format"/>
                          </w:pPr>
                          <w:r>
                            <w:t xml:space="preserve">AARHUS KOMMUNE   </w:t>
                          </w:r>
                          <w:r>
                            <w:fldChar w:fldCharType="begin"/>
                          </w:r>
                          <w:r>
                            <w:instrText xml:space="preserve"> PAGE   \* MERGEFORMAT </w:instrText>
                          </w:r>
                          <w:r>
                            <w:fldChar w:fldCharType="separate"/>
                          </w:r>
                          <w:r>
                            <w:rPr>
                              <w:noProof/>
                            </w:rPr>
                            <w:t>14</w:t>
                          </w:r>
                          <w:r>
                            <w:rPr>
                              <w:noProof/>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02FB9D9" id="Tekstfelt 19" o:spid="_x0000_s1033" type="#_x0000_t202" style="position:absolute;margin-left:-179.65pt;margin-top:.9pt;width:134.45pt;height:20.2pt;z-index:25165824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" stroked="f">
              <v:textbox style="mso-fit-shape-to-text:t">
                <w:txbxContent>
                  <w:p w14:paraId="09B740AA" w14:textId="77777777" w:rsidR="009421DD" w:rsidRDefault="009421DD" w:rsidP="000A4885">
                    <w:pPr>
                      <w:pStyle w:val="Sidefod-format"/>
                    </w:pPr>
                    <w:r>
                      <w:t xml:space="preserve">AARHUS KOMMUNE   </w:t>
                    </w:r>
                    <w:r>
                      <w:fldChar w:fldCharType="begin"/>
                    </w:r>
                    <w:r>
                      <w:instrText xml:space="preserve"> PAGE   \* MERGEFORMAT </w:instrText>
                    </w:r>
                    <w:r>
                      <w:fldChar w:fldCharType="separate"/>
                    </w:r>
                    <w:r>
                      <w:rPr>
                        <w:noProof/>
                      </w:rPr>
                      <w:t>14</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5703" w14:textId="77777777" w:rsidR="009421DD" w:rsidRDefault="009421DD" w:rsidP="000A4885">
    <w:pPr>
      <w:pStyle w:val="Sidefod-format"/>
    </w:pPr>
    <w:r>
      <w:rPr>
        <w:noProof/>
        <w:lang w:eastAsia="da-DK"/>
      </w:rPr>
      <mc:AlternateContent>
        <mc:Choice Requires="wps">
          <w:drawing>
            <wp:anchor distT="0" distB="0" distL="114300" distR="114300" simplePos="0" relativeHeight="251658241" behindDoc="0" locked="0" layoutInCell="1" allowOverlap="1" wp14:anchorId="28A6F1BF" wp14:editId="2794E3A1">
              <wp:simplePos x="0" y="0"/>
              <wp:positionH relativeFrom="page">
                <wp:posOffset>5314950</wp:posOffset>
              </wp:positionH>
              <wp:positionV relativeFrom="paragraph">
                <wp:posOffset>-113031</wp:posOffset>
              </wp:positionV>
              <wp:extent cx="1708785" cy="380365"/>
              <wp:effectExtent l="0" t="0" r="2540" b="635"/>
              <wp:wrapNone/>
              <wp:docPr id="18" name="Tekstfel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2EC17" w14:textId="77777777" w:rsidR="009421DD" w:rsidRDefault="009421DD" w:rsidP="000A4885">
                          <w:pPr>
                            <w:pStyle w:val="Sidefod-format"/>
                          </w:pPr>
                          <w:r>
                            <w:fldChar w:fldCharType="begin"/>
                          </w:r>
                          <w:r>
                            <w:instrText xml:space="preserve"> PAGE   \* MERGEFORMAT </w:instrText>
                          </w:r>
                          <w:r>
                            <w:fldChar w:fldCharType="separate"/>
                          </w:r>
                          <w:r>
                            <w:rPr>
                              <w:noProof/>
                            </w:rPr>
                            <w:t>13</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8A6F1BF" id="_x0000_t202" coordsize="21600,21600" o:spt="202" path="m,l,21600r21600,l21600,xe">
              <v:stroke joinstyle="miter"/>
              <v:path gradientshapeok="t" o:connecttype="rect"/>
            </v:shapetype>
            <v:shape id="Tekstfelt 18" o:spid="_x0000_s1034" type="#_x0000_t202" style="position:absolute;margin-left:418.5pt;margin-top:-8.9pt;width:134.55pt;height:29.95pt;z-index:251658241;visibility:visible;mso-wrap-style:square;mso-width-percent:400;mso-height-percent:0;mso-wrap-distance-left:9pt;mso-wrap-distance-top:0;mso-wrap-distance-right:9pt;mso-wrap-distance-bottom:0;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" stroked="f">
              <v:textbox>
                <w:txbxContent>
                  <w:p w14:paraId="4D72EC17" w14:textId="77777777" w:rsidR="009421DD" w:rsidRDefault="009421DD" w:rsidP="000A4885">
                    <w:pPr>
                      <w:pStyle w:val="Sidefod-format"/>
                    </w:pPr>
                    <w:r>
                      <w:fldChar w:fldCharType="begin"/>
                    </w:r>
                    <w:r>
                      <w:instrText xml:space="preserve"> PAGE   \* MERGEFORMAT </w:instrText>
                    </w:r>
                    <w:r>
                      <w:fldChar w:fldCharType="separate"/>
                    </w:r>
                    <w:r>
                      <w:rPr>
                        <w:noProof/>
                      </w:rPr>
                      <w:t>13</w:t>
                    </w:r>
                    <w:r>
                      <w:rPr>
                        <w:noProof/>
                      </w:rPr>
                      <w:fldChar w:fldCharType="end"/>
                    </w:r>
                    <w:r>
                      <w:rPr>
                        <w:noProof/>
                      </w:rPr>
                      <w:t xml:space="preserve">   AARHUS KOMMUNE</w:t>
                    </w:r>
                  </w:p>
                </w:txbxContent>
              </v:textbox>
              <w10:wrap anchorx="page"/>
            </v:shape>
          </w:pict>
        </mc:Fallback>
      </mc:AlternateContent>
    </w:r>
  </w:p>
  <w:p w14:paraId="601DE7C7" w14:textId="77777777" w:rsidR="009421DD" w:rsidRDefault="009421DD" w:rsidP="000A48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C7C9" w14:textId="77777777" w:rsidR="009421DD" w:rsidRDefault="009421DD" w:rsidP="000A4885">
      <w:r>
        <w:separator/>
      </w:r>
    </w:p>
  </w:footnote>
  <w:footnote w:type="continuationSeparator" w:id="0">
    <w:p w14:paraId="37A158C4" w14:textId="77777777" w:rsidR="009421DD" w:rsidRDefault="009421DD" w:rsidP="000A4885">
      <w:r>
        <w:continuationSeparator/>
      </w:r>
    </w:p>
  </w:footnote>
  <w:footnote w:type="continuationNotice" w:id="1">
    <w:p w14:paraId="2E4E0987" w14:textId="77777777" w:rsidR="00292BD0" w:rsidRDefault="00292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D6F6" w14:textId="77777777" w:rsidR="009421DD" w:rsidRDefault="009421DD" w:rsidP="000A4885">
    <w:pPr>
      <w:pStyle w:val="Sidefod-format"/>
    </w:pPr>
    <w:r>
      <w:rPr>
        <w:noProof/>
        <w:lang w:eastAsia="da-DK"/>
      </w:rPr>
      <mc:AlternateContent>
        <mc:Choice Requires="wps">
          <w:drawing>
            <wp:anchor distT="0" distB="0" distL="114300" distR="114300" simplePos="0" relativeHeight="251658244" behindDoc="0" locked="0" layoutInCell="1" allowOverlap="1" wp14:anchorId="5E8612EB" wp14:editId="58909B22">
              <wp:simplePos x="0" y="0"/>
              <wp:positionH relativeFrom="column">
                <wp:posOffset>4829810</wp:posOffset>
              </wp:positionH>
              <wp:positionV relativeFrom="paragraph">
                <wp:posOffset>-47625</wp:posOffset>
              </wp:positionV>
              <wp:extent cx="1721485" cy="561975"/>
              <wp:effectExtent l="0" t="0" r="0" b="9525"/>
              <wp:wrapNone/>
              <wp:docPr id="31" name="Tekstfel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9B53C" w14:textId="77777777" w:rsidR="009421DD" w:rsidRDefault="009421DD" w:rsidP="000A4885">
                          <w:pPr>
                            <w:pStyle w:val="Sidefod-format"/>
                          </w:pPr>
                        </w:p>
                        <w:p w14:paraId="52AA8DEC" w14:textId="4CBF5C97" w:rsidR="009421DD" w:rsidRDefault="009421DD" w:rsidP="00490AF4">
                          <w:pPr>
                            <w:pStyle w:val="Sidefod-format"/>
                          </w:pPr>
                          <w:r>
                            <w:t>FINANSIERING  202</w:t>
                          </w:r>
                          <w:r w:rsidR="009F5A23">
                            <w:t>6</w:t>
                          </w:r>
                          <w:r>
                            <w:t xml:space="preserve"> - 202</w:t>
                          </w:r>
                          <w:r w:rsidR="009F5A23">
                            <w:t>9</w:t>
                          </w:r>
                        </w:p>
                        <w:p w14:paraId="74136961" w14:textId="77777777" w:rsidR="009421DD" w:rsidRDefault="009421DD" w:rsidP="00490AF4">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612EB" id="_x0000_t202" coordsize="21600,21600" o:spt="202" path="m,l,21600r21600,l21600,xe">
              <v:stroke joinstyle="miter"/>
              <v:path gradientshapeok="t" o:connecttype="rect"/>
            </v:shapetype>
            <v:shape id="Tekstfelt 31" o:spid="_x0000_s1029" type="#_x0000_t202" style="position:absolute;margin-left:380.3pt;margin-top:-3.75pt;width:135.5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" stroked="f">
              <v:textbox>
                <w:txbxContent>
                  <w:p w14:paraId="3CF9B53C" w14:textId="77777777" w:rsidR="009421DD" w:rsidRDefault="009421DD" w:rsidP="000A4885">
                    <w:pPr>
                      <w:pStyle w:val="Sidefod-format"/>
                    </w:pPr>
                  </w:p>
                  <w:p w14:paraId="52AA8DEC" w14:textId="4CBF5C97" w:rsidR="009421DD" w:rsidRDefault="009421DD" w:rsidP="00490AF4">
                    <w:pPr>
                      <w:pStyle w:val="Sidefod-format"/>
                    </w:pPr>
                    <w:r>
                      <w:t>FINANSIERING  202</w:t>
                    </w:r>
                    <w:r w:rsidR="009F5A23">
                      <w:t>6</w:t>
                    </w:r>
                    <w:r>
                      <w:t xml:space="preserve"> - 202</w:t>
                    </w:r>
                    <w:r w:rsidR="009F5A23">
                      <w:t>9</w:t>
                    </w:r>
                  </w:p>
                  <w:p w14:paraId="74136961" w14:textId="77777777" w:rsidR="009421DD" w:rsidRDefault="009421DD" w:rsidP="00490AF4">
                    <w:pPr>
                      <w:pStyle w:val="Sidefod-format"/>
                    </w:pPr>
                  </w:p>
                </w:txbxContent>
              </v:textbox>
            </v:shape>
          </w:pict>
        </mc:Fallback>
      </mc:AlternateContent>
    </w:r>
    <w:r>
      <w:rPr>
        <w:noProof/>
        <w:lang w:eastAsia="da-DK"/>
      </w:rPr>
      <mc:AlternateContent>
        <mc:Choice Requires="wps">
          <w:drawing>
            <wp:anchor distT="0" distB="0" distL="114300" distR="114300" simplePos="0" relativeHeight="251658242" behindDoc="0" locked="0" layoutInCell="1" allowOverlap="1" wp14:anchorId="3E9C586B" wp14:editId="0EF8DE63">
              <wp:simplePos x="0" y="0"/>
              <wp:positionH relativeFrom="margin">
                <wp:posOffset>-2278380</wp:posOffset>
              </wp:positionH>
              <wp:positionV relativeFrom="paragraph">
                <wp:posOffset>-50165</wp:posOffset>
              </wp:positionV>
              <wp:extent cx="2532380" cy="354330"/>
              <wp:effectExtent l="0" t="0" r="1270" b="7620"/>
              <wp:wrapNone/>
              <wp:docPr id="30" name="Tekstfel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54330"/>
                      </a:xfrm>
                      <a:prstGeom prst="rect">
                        <a:avLst/>
                      </a:prstGeom>
                      <a:solidFill>
                        <a:srgbClr val="FFFFFF"/>
                      </a:solidFill>
                      <a:ln w="9525">
                        <a:noFill/>
                        <a:miter lim="800000"/>
                        <a:headEnd/>
                        <a:tailEnd/>
                      </a:ln>
                    </wps:spPr>
                    <wps:txbx>
                      <w:txbxContent>
                        <w:p w14:paraId="5579C1F0" w14:textId="77777777" w:rsidR="009421DD" w:rsidRDefault="009421DD" w:rsidP="000A4885">
                          <w:pPr>
                            <w:pStyle w:val="Sidefod-format"/>
                          </w:pPr>
                          <w:r>
                            <w:rPr>
                              <w:noProof/>
                              <w:lang w:eastAsia="da-DK"/>
                            </w:rPr>
                            <w:t>ÅRSBERETNING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C586B" id="Tekstfelt 30" o:spid="_x0000_s1030" type="#_x0000_t202" style="position:absolute;margin-left:-179.4pt;margin-top:-3.95pt;width:199.4pt;height:27.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" stroked="f">
              <v:textbox>
                <w:txbxContent>
                  <w:p w14:paraId="5579C1F0" w14:textId="77777777" w:rsidR="009421DD" w:rsidRDefault="009421DD" w:rsidP="000A4885">
                    <w:pPr>
                      <w:pStyle w:val="Sidefod-format"/>
                    </w:pPr>
                    <w:r>
                      <w:rPr>
                        <w:noProof/>
                        <w:lang w:eastAsia="da-DK"/>
                      </w:rPr>
                      <w:t>ÅRSBERETNING 2014</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7BE9" w14:textId="77777777" w:rsidR="009421DD" w:rsidRDefault="009421DD" w:rsidP="000A4885">
    <w:pPr>
      <w:pStyle w:val="Sidefod-format"/>
    </w:pPr>
    <w:r>
      <w:rPr>
        <w:noProof/>
        <w:lang w:eastAsia="da-DK"/>
      </w:rPr>
      <mc:AlternateContent>
        <mc:Choice Requires="wps">
          <w:drawing>
            <wp:anchor distT="0" distB="0" distL="114300" distR="114300" simplePos="0" relativeHeight="251658240" behindDoc="0" locked="0" layoutInCell="1" allowOverlap="1" wp14:anchorId="7C782373" wp14:editId="27F4E86B">
              <wp:simplePos x="0" y="0"/>
              <wp:positionH relativeFrom="column">
                <wp:posOffset>4763135</wp:posOffset>
              </wp:positionH>
              <wp:positionV relativeFrom="paragraph">
                <wp:posOffset>-47624</wp:posOffset>
              </wp:positionV>
              <wp:extent cx="1785620" cy="571500"/>
              <wp:effectExtent l="0" t="0" r="5080" b="0"/>
              <wp:wrapNone/>
              <wp:docPr id="29" name="Tekstfel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71500"/>
                      </a:xfrm>
                      <a:prstGeom prst="rect">
                        <a:avLst/>
                      </a:prstGeom>
                      <a:solidFill>
                        <a:srgbClr val="FFFFFF"/>
                      </a:solidFill>
                      <a:ln w="9525">
                        <a:noFill/>
                        <a:miter lim="800000"/>
                        <a:headEnd/>
                        <a:tailEnd/>
                      </a:ln>
                    </wps:spPr>
                    <wps:txbx>
                      <w:txbxContent>
                        <w:p w14:paraId="3A9A6C11" w14:textId="77777777" w:rsidR="009421DD" w:rsidRDefault="009421DD" w:rsidP="000A4885">
                          <w:pPr>
                            <w:pStyle w:val="Sidefod-format"/>
                          </w:pPr>
                        </w:p>
                        <w:p w14:paraId="5130AA7B" w14:textId="5602FEC8" w:rsidR="009421DD" w:rsidRDefault="009421DD" w:rsidP="000A4885">
                          <w:pPr>
                            <w:pStyle w:val="Sidefod-format"/>
                          </w:pPr>
                          <w:r>
                            <w:t>FINANSIERING  202</w:t>
                          </w:r>
                          <w:r w:rsidR="009F5A23">
                            <w:t>6</w:t>
                          </w:r>
                          <w:r>
                            <w:t xml:space="preserve"> </w:t>
                          </w:r>
                          <w:r w:rsidR="0006506E">
                            <w:t>–</w:t>
                          </w:r>
                          <w:r>
                            <w:t xml:space="preserve"> 202</w:t>
                          </w:r>
                          <w:r w:rsidR="009F5A23">
                            <w:t>9</w:t>
                          </w:r>
                        </w:p>
                        <w:p w14:paraId="15A2A7E1" w14:textId="77777777" w:rsidR="0006506E" w:rsidRDefault="0006506E" w:rsidP="000A4885">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82373" id="_x0000_t202" coordsize="21600,21600" o:spt="202" path="m,l,21600r21600,l21600,xe">
              <v:stroke joinstyle="miter"/>
              <v:path gradientshapeok="t" o:connecttype="rect"/>
            </v:shapetype>
            <v:shape id="Tekstfelt 29" o:spid="_x0000_s1031" type="#_x0000_t202" style="position:absolute;margin-left:375.05pt;margin-top:-3.75pt;width:140.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" stroked="f">
              <v:textbox>
                <w:txbxContent>
                  <w:p w14:paraId="3A9A6C11" w14:textId="77777777" w:rsidR="009421DD" w:rsidRDefault="009421DD" w:rsidP="000A4885">
                    <w:pPr>
                      <w:pStyle w:val="Sidefod-format"/>
                    </w:pPr>
                  </w:p>
                  <w:p w14:paraId="5130AA7B" w14:textId="5602FEC8" w:rsidR="009421DD" w:rsidRDefault="009421DD" w:rsidP="000A4885">
                    <w:pPr>
                      <w:pStyle w:val="Sidefod-format"/>
                    </w:pPr>
                    <w:r>
                      <w:t>FINANSIERING  202</w:t>
                    </w:r>
                    <w:r w:rsidR="009F5A23">
                      <w:t>6</w:t>
                    </w:r>
                    <w:r>
                      <w:t xml:space="preserve"> </w:t>
                    </w:r>
                    <w:r w:rsidR="0006506E">
                      <w:t>–</w:t>
                    </w:r>
                    <w:r>
                      <w:t xml:space="preserve"> 202</w:t>
                    </w:r>
                    <w:r w:rsidR="009F5A23">
                      <w:t>9</w:t>
                    </w:r>
                  </w:p>
                  <w:p w14:paraId="15A2A7E1" w14:textId="77777777" w:rsidR="0006506E" w:rsidRDefault="0006506E" w:rsidP="000A4885">
                    <w:pPr>
                      <w:pStyle w:val="Sidefod-forma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B4700E"/>
    <w:lvl w:ilvl="0">
      <w:start w:val="1"/>
      <w:numFmt w:val="bullet"/>
      <w:pStyle w:val="Opstilling-punkttegn"/>
      <w:lvlText w:val=""/>
      <w:lvlJc w:val="left"/>
      <w:pPr>
        <w:ind w:left="360" w:hanging="360"/>
      </w:pPr>
      <w:rPr>
        <w:rFonts w:ascii="Symbol" w:hAnsi="Symbol" w:hint="default"/>
        <w:sz w:val="16"/>
      </w:rPr>
    </w:lvl>
  </w:abstractNum>
  <w:abstractNum w:abstractNumId="1" w15:restartNumberingAfterBreak="0">
    <w:nsid w:val="029959AE"/>
    <w:multiLevelType w:val="hybridMultilevel"/>
    <w:tmpl w:val="539AB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8C62DE"/>
    <w:multiLevelType w:val="hybridMultilevel"/>
    <w:tmpl w:val="656C5EDC"/>
    <w:lvl w:ilvl="0" w:tplc="0958D6B4">
      <w:start w:val="3"/>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86522E"/>
    <w:multiLevelType w:val="hybridMultilevel"/>
    <w:tmpl w:val="DFCE96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1F5D31"/>
    <w:multiLevelType w:val="hybridMultilevel"/>
    <w:tmpl w:val="870403D4"/>
    <w:lvl w:ilvl="0" w:tplc="3586E2B2">
      <w:start w:val="1"/>
      <w:numFmt w:val="bullet"/>
      <w:lvlText w:val=""/>
      <w:lvlJc w:val="left"/>
      <w:pPr>
        <w:ind w:left="720" w:hanging="720"/>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475B58"/>
    <w:multiLevelType w:val="hybridMultilevel"/>
    <w:tmpl w:val="14F0B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474A1B"/>
    <w:multiLevelType w:val="hybridMultilevel"/>
    <w:tmpl w:val="8034D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CE0434"/>
    <w:multiLevelType w:val="hybridMultilevel"/>
    <w:tmpl w:val="16E6FBF8"/>
    <w:lvl w:ilvl="0" w:tplc="C052B2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700339"/>
    <w:multiLevelType w:val="hybridMultilevel"/>
    <w:tmpl w:val="99C808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83239EF"/>
    <w:multiLevelType w:val="hybridMultilevel"/>
    <w:tmpl w:val="82BA78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A6F1A7B"/>
    <w:multiLevelType w:val="hybridMultilevel"/>
    <w:tmpl w:val="291091E0"/>
    <w:lvl w:ilvl="0" w:tplc="BD866D46">
      <w:start w:val="1"/>
      <w:numFmt w:val="bullet"/>
      <w:pStyle w:val="Punktopstillingspalte"/>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1" w15:restartNumberingAfterBreak="0">
    <w:nsid w:val="2B713D50"/>
    <w:multiLevelType w:val="hybridMultilevel"/>
    <w:tmpl w:val="B33A5E3C"/>
    <w:lvl w:ilvl="0" w:tplc="36D6FF86">
      <w:start w:val="1"/>
      <w:numFmt w:val="bullet"/>
      <w:lvlText w:val=""/>
      <w:lvlJc w:val="left"/>
      <w:pPr>
        <w:ind w:left="227" w:hanging="227"/>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79474A"/>
    <w:multiLevelType w:val="hybridMultilevel"/>
    <w:tmpl w:val="45543E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2F55178F"/>
    <w:multiLevelType w:val="hybridMultilevel"/>
    <w:tmpl w:val="F1FAA7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9E7E9B"/>
    <w:multiLevelType w:val="hybridMultilevel"/>
    <w:tmpl w:val="B33EC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7F275DB"/>
    <w:multiLevelType w:val="hybridMultilevel"/>
    <w:tmpl w:val="1D3038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951123B"/>
    <w:multiLevelType w:val="hybridMultilevel"/>
    <w:tmpl w:val="173EE8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B1F6308"/>
    <w:multiLevelType w:val="hybridMultilevel"/>
    <w:tmpl w:val="3AB2239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B36583F"/>
    <w:multiLevelType w:val="hybridMultilevel"/>
    <w:tmpl w:val="5FD86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5D4846"/>
    <w:multiLevelType w:val="hybridMultilevel"/>
    <w:tmpl w:val="D08880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FAC71D3"/>
    <w:multiLevelType w:val="hybridMultilevel"/>
    <w:tmpl w:val="55AC1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1D4245"/>
    <w:multiLevelType w:val="hybridMultilevel"/>
    <w:tmpl w:val="09125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12F64EF"/>
    <w:multiLevelType w:val="hybridMultilevel"/>
    <w:tmpl w:val="EEB678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64483A"/>
    <w:multiLevelType w:val="hybridMultilevel"/>
    <w:tmpl w:val="56821D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A16683"/>
    <w:multiLevelType w:val="hybridMultilevel"/>
    <w:tmpl w:val="09F8B3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3097A70"/>
    <w:multiLevelType w:val="hybridMultilevel"/>
    <w:tmpl w:val="CDDAA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6EF014E"/>
    <w:multiLevelType w:val="hybridMultilevel"/>
    <w:tmpl w:val="9848A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0226BA1"/>
    <w:multiLevelType w:val="hybridMultilevel"/>
    <w:tmpl w:val="9CC83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7854DF"/>
    <w:multiLevelType w:val="hybridMultilevel"/>
    <w:tmpl w:val="B77ED1D8"/>
    <w:lvl w:ilvl="0" w:tplc="FA48621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6886D72"/>
    <w:multiLevelType w:val="hybridMultilevel"/>
    <w:tmpl w:val="FA74D3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E290452"/>
    <w:multiLevelType w:val="hybridMultilevel"/>
    <w:tmpl w:val="DCAA1ABE"/>
    <w:lvl w:ilvl="0" w:tplc="3D74E17C">
      <w:start w:val="1"/>
      <w:numFmt w:val="bullet"/>
      <w:lvlText w:val=""/>
      <w:lvlJc w:val="left"/>
      <w:pPr>
        <w:ind w:left="284" w:hanging="284"/>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E9A0A4C"/>
    <w:multiLevelType w:val="hybridMultilevel"/>
    <w:tmpl w:val="7570A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0D47A02"/>
    <w:multiLevelType w:val="hybridMultilevel"/>
    <w:tmpl w:val="DB223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1925DAF"/>
    <w:multiLevelType w:val="hybridMultilevel"/>
    <w:tmpl w:val="3F109256"/>
    <w:lvl w:ilvl="0" w:tplc="90C09E7E">
      <w:start w:val="1"/>
      <w:numFmt w:val="bullet"/>
      <w:pStyle w:val="Listeafsnit"/>
      <w:lvlText w:val=""/>
      <w:lvlJc w:val="left"/>
      <w:pPr>
        <w:ind w:left="1495"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2F9495D"/>
    <w:multiLevelType w:val="hybridMultilevel"/>
    <w:tmpl w:val="6FFEF2D8"/>
    <w:lvl w:ilvl="0" w:tplc="2996BF5A">
      <w:start w:val="99"/>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2E7AF2"/>
    <w:multiLevelType w:val="hybridMultilevel"/>
    <w:tmpl w:val="C388C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6A05EAB"/>
    <w:multiLevelType w:val="hybridMultilevel"/>
    <w:tmpl w:val="2F449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7" w15:restartNumberingAfterBreak="0">
    <w:nsid w:val="734616E7"/>
    <w:multiLevelType w:val="hybridMultilevel"/>
    <w:tmpl w:val="5B86AFB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80D68D1"/>
    <w:multiLevelType w:val="hybridMultilevel"/>
    <w:tmpl w:val="D83E3B5C"/>
    <w:lvl w:ilvl="0" w:tplc="BAA83DE4">
      <w:start w:val="1"/>
      <w:numFmt w:val="bullet"/>
      <w:lvlText w:val=""/>
      <w:lvlJc w:val="left"/>
      <w:pPr>
        <w:ind w:left="720" w:hanging="360"/>
      </w:pPr>
      <w:rPr>
        <w:rFonts w:ascii="Symbol" w:hAnsi="Symbol"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8E11DB4"/>
    <w:multiLevelType w:val="hybridMultilevel"/>
    <w:tmpl w:val="8814D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95F7493"/>
    <w:multiLevelType w:val="hybridMultilevel"/>
    <w:tmpl w:val="52DAF9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9B03481"/>
    <w:multiLevelType w:val="hybridMultilevel"/>
    <w:tmpl w:val="1102C8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D7C4EFD"/>
    <w:multiLevelType w:val="hybridMultilevel"/>
    <w:tmpl w:val="10F62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EDF7B82"/>
    <w:multiLevelType w:val="hybridMultilevel"/>
    <w:tmpl w:val="E6AE52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747265508">
    <w:abstractNumId w:val="33"/>
  </w:num>
  <w:num w:numId="2" w16cid:durableId="212154157">
    <w:abstractNumId w:val="0"/>
  </w:num>
  <w:num w:numId="3" w16cid:durableId="2026325897">
    <w:abstractNumId w:val="38"/>
  </w:num>
  <w:num w:numId="4" w16cid:durableId="644704046">
    <w:abstractNumId w:val="35"/>
  </w:num>
  <w:num w:numId="5" w16cid:durableId="19935588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542301">
    <w:abstractNumId w:val="19"/>
  </w:num>
  <w:num w:numId="7" w16cid:durableId="1052997288">
    <w:abstractNumId w:val="6"/>
  </w:num>
  <w:num w:numId="8" w16cid:durableId="970282093">
    <w:abstractNumId w:val="27"/>
  </w:num>
  <w:num w:numId="9" w16cid:durableId="248462696">
    <w:abstractNumId w:val="34"/>
  </w:num>
  <w:num w:numId="10" w16cid:durableId="44381072">
    <w:abstractNumId w:val="2"/>
  </w:num>
  <w:num w:numId="11" w16cid:durableId="1431391958">
    <w:abstractNumId w:val="39"/>
  </w:num>
  <w:num w:numId="12" w16cid:durableId="740952874">
    <w:abstractNumId w:val="5"/>
  </w:num>
  <w:num w:numId="13" w16cid:durableId="1941260424">
    <w:abstractNumId w:val="32"/>
  </w:num>
  <w:num w:numId="14" w16cid:durableId="1284268743">
    <w:abstractNumId w:val="14"/>
  </w:num>
  <w:num w:numId="15" w16cid:durableId="267933305">
    <w:abstractNumId w:val="26"/>
  </w:num>
  <w:num w:numId="16" w16cid:durableId="290988577">
    <w:abstractNumId w:val="18"/>
  </w:num>
  <w:num w:numId="17" w16cid:durableId="85730829">
    <w:abstractNumId w:val="31"/>
  </w:num>
  <w:num w:numId="18" w16cid:durableId="467355895">
    <w:abstractNumId w:val="1"/>
  </w:num>
  <w:num w:numId="19" w16cid:durableId="1813593335">
    <w:abstractNumId w:val="41"/>
  </w:num>
  <w:num w:numId="20" w16cid:durableId="386338951">
    <w:abstractNumId w:val="43"/>
  </w:num>
  <w:num w:numId="21" w16cid:durableId="945503593">
    <w:abstractNumId w:val="42"/>
  </w:num>
  <w:num w:numId="22" w16cid:durableId="134219555">
    <w:abstractNumId w:val="17"/>
  </w:num>
  <w:num w:numId="23" w16cid:durableId="70394215">
    <w:abstractNumId w:val="37"/>
  </w:num>
  <w:num w:numId="24" w16cid:durableId="1832209926">
    <w:abstractNumId w:val="9"/>
  </w:num>
  <w:num w:numId="25" w16cid:durableId="687408657">
    <w:abstractNumId w:val="4"/>
  </w:num>
  <w:num w:numId="26" w16cid:durableId="23023474">
    <w:abstractNumId w:val="30"/>
  </w:num>
  <w:num w:numId="27" w16cid:durableId="168256427">
    <w:abstractNumId w:val="11"/>
  </w:num>
  <w:num w:numId="28" w16cid:durableId="684134306">
    <w:abstractNumId w:val="36"/>
  </w:num>
  <w:num w:numId="29" w16cid:durableId="85615062">
    <w:abstractNumId w:val="12"/>
  </w:num>
  <w:num w:numId="30" w16cid:durableId="1006176635">
    <w:abstractNumId w:val="23"/>
  </w:num>
  <w:num w:numId="31" w16cid:durableId="645090705">
    <w:abstractNumId w:val="25"/>
  </w:num>
  <w:num w:numId="32" w16cid:durableId="1532063067">
    <w:abstractNumId w:val="16"/>
  </w:num>
  <w:num w:numId="33" w16cid:durableId="291862588">
    <w:abstractNumId w:val="40"/>
  </w:num>
  <w:num w:numId="34" w16cid:durableId="2051316">
    <w:abstractNumId w:val="15"/>
  </w:num>
  <w:num w:numId="35" w16cid:durableId="1318849030">
    <w:abstractNumId w:val="8"/>
  </w:num>
  <w:num w:numId="36" w16cid:durableId="606623853">
    <w:abstractNumId w:val="21"/>
  </w:num>
  <w:num w:numId="37" w16cid:durableId="1399018264">
    <w:abstractNumId w:val="7"/>
  </w:num>
  <w:num w:numId="38" w16cid:durableId="2075656788">
    <w:abstractNumId w:val="24"/>
  </w:num>
  <w:num w:numId="39" w16cid:durableId="1171526056">
    <w:abstractNumId w:val="13"/>
  </w:num>
  <w:num w:numId="40" w16cid:durableId="2107647660">
    <w:abstractNumId w:val="3"/>
  </w:num>
  <w:num w:numId="41" w16cid:durableId="1570581686">
    <w:abstractNumId w:val="22"/>
  </w:num>
  <w:num w:numId="42" w16cid:durableId="1167399676">
    <w:abstractNumId w:val="28"/>
  </w:num>
  <w:num w:numId="43" w16cid:durableId="345983555">
    <w:abstractNumId w:val="20"/>
  </w:num>
  <w:num w:numId="44" w16cid:durableId="83869646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0"/>
  <w:activeWritingStyle w:appName="MSWord" w:lang="da-DK" w:vendorID="64" w:dllVersion="0" w:nlCheck="1" w:checkStyle="0"/>
  <w:proofState w:spelling="clean" w:grammar="clean"/>
  <w:attachedTemplate r:id="rId1"/>
  <w:documentProtection w:edit="readOnly" w:enforcement="0"/>
  <w:defaultTabStop w:val="1304"/>
  <w:hyphenationZone w:val="425"/>
  <w:evenAndOddHeaders/>
  <w:characterSpacingControl w:val="doNotCompress"/>
  <w:hdrShapeDefaults>
    <o:shapedefaults v:ext="edit" spidmax="344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E3"/>
    <w:rsid w:val="00000E64"/>
    <w:rsid w:val="00002181"/>
    <w:rsid w:val="000024CF"/>
    <w:rsid w:val="00002536"/>
    <w:rsid w:val="0000313A"/>
    <w:rsid w:val="000035D1"/>
    <w:rsid w:val="00003716"/>
    <w:rsid w:val="00004675"/>
    <w:rsid w:val="00005F47"/>
    <w:rsid w:val="0000642E"/>
    <w:rsid w:val="00007219"/>
    <w:rsid w:val="000118AB"/>
    <w:rsid w:val="00012016"/>
    <w:rsid w:val="00012525"/>
    <w:rsid w:val="00013721"/>
    <w:rsid w:val="00013F41"/>
    <w:rsid w:val="00014701"/>
    <w:rsid w:val="00014D65"/>
    <w:rsid w:val="00015E6C"/>
    <w:rsid w:val="00017931"/>
    <w:rsid w:val="00017E83"/>
    <w:rsid w:val="000231E4"/>
    <w:rsid w:val="00023E10"/>
    <w:rsid w:val="000242D9"/>
    <w:rsid w:val="000247A4"/>
    <w:rsid w:val="00024CC0"/>
    <w:rsid w:val="00025097"/>
    <w:rsid w:val="00025480"/>
    <w:rsid w:val="00026073"/>
    <w:rsid w:val="00026120"/>
    <w:rsid w:val="00026AEC"/>
    <w:rsid w:val="000276C3"/>
    <w:rsid w:val="000277BC"/>
    <w:rsid w:val="00027EDC"/>
    <w:rsid w:val="00031602"/>
    <w:rsid w:val="0003188B"/>
    <w:rsid w:val="0003201B"/>
    <w:rsid w:val="00032644"/>
    <w:rsid w:val="000334E8"/>
    <w:rsid w:val="00034631"/>
    <w:rsid w:val="00035549"/>
    <w:rsid w:val="0003610F"/>
    <w:rsid w:val="000364AC"/>
    <w:rsid w:val="00036B82"/>
    <w:rsid w:val="000415D5"/>
    <w:rsid w:val="000423AB"/>
    <w:rsid w:val="000431B2"/>
    <w:rsid w:val="00044EA3"/>
    <w:rsid w:val="000456D9"/>
    <w:rsid w:val="00045C1C"/>
    <w:rsid w:val="00046DBE"/>
    <w:rsid w:val="00047684"/>
    <w:rsid w:val="000478B4"/>
    <w:rsid w:val="00047923"/>
    <w:rsid w:val="00050867"/>
    <w:rsid w:val="00050F17"/>
    <w:rsid w:val="00051535"/>
    <w:rsid w:val="00051CF6"/>
    <w:rsid w:val="000525F5"/>
    <w:rsid w:val="00052924"/>
    <w:rsid w:val="000537B7"/>
    <w:rsid w:val="00053834"/>
    <w:rsid w:val="00054363"/>
    <w:rsid w:val="0005480C"/>
    <w:rsid w:val="00054D0D"/>
    <w:rsid w:val="00054D74"/>
    <w:rsid w:val="000551B9"/>
    <w:rsid w:val="00057B83"/>
    <w:rsid w:val="00060CC1"/>
    <w:rsid w:val="00062398"/>
    <w:rsid w:val="00064119"/>
    <w:rsid w:val="0006506E"/>
    <w:rsid w:val="0006605C"/>
    <w:rsid w:val="000707E7"/>
    <w:rsid w:val="00071D2C"/>
    <w:rsid w:val="000734E8"/>
    <w:rsid w:val="0007350F"/>
    <w:rsid w:val="0007663F"/>
    <w:rsid w:val="00077815"/>
    <w:rsid w:val="000800D4"/>
    <w:rsid w:val="00081BA3"/>
    <w:rsid w:val="00081BD7"/>
    <w:rsid w:val="00082642"/>
    <w:rsid w:val="000829C9"/>
    <w:rsid w:val="00083BE2"/>
    <w:rsid w:val="000848AC"/>
    <w:rsid w:val="00085CDF"/>
    <w:rsid w:val="00090235"/>
    <w:rsid w:val="00096D8A"/>
    <w:rsid w:val="000A2475"/>
    <w:rsid w:val="000A3761"/>
    <w:rsid w:val="000A4885"/>
    <w:rsid w:val="000A4F8E"/>
    <w:rsid w:val="000A60E2"/>
    <w:rsid w:val="000A69C6"/>
    <w:rsid w:val="000B0A08"/>
    <w:rsid w:val="000B1AC5"/>
    <w:rsid w:val="000B2A57"/>
    <w:rsid w:val="000B2F16"/>
    <w:rsid w:val="000B33E5"/>
    <w:rsid w:val="000B52A8"/>
    <w:rsid w:val="000B63F7"/>
    <w:rsid w:val="000B7FC2"/>
    <w:rsid w:val="000C0C68"/>
    <w:rsid w:val="000C1195"/>
    <w:rsid w:val="000C2486"/>
    <w:rsid w:val="000C2F02"/>
    <w:rsid w:val="000C3A8A"/>
    <w:rsid w:val="000C3DB5"/>
    <w:rsid w:val="000C48F6"/>
    <w:rsid w:val="000C4A4A"/>
    <w:rsid w:val="000C55AA"/>
    <w:rsid w:val="000C5667"/>
    <w:rsid w:val="000C566F"/>
    <w:rsid w:val="000C5684"/>
    <w:rsid w:val="000C5B9F"/>
    <w:rsid w:val="000C5E2C"/>
    <w:rsid w:val="000C6FAD"/>
    <w:rsid w:val="000C75A6"/>
    <w:rsid w:val="000D01DA"/>
    <w:rsid w:val="000D125F"/>
    <w:rsid w:val="000D1C36"/>
    <w:rsid w:val="000D1D15"/>
    <w:rsid w:val="000D2514"/>
    <w:rsid w:val="000D2EF6"/>
    <w:rsid w:val="000D33B6"/>
    <w:rsid w:val="000D39AF"/>
    <w:rsid w:val="000D40CE"/>
    <w:rsid w:val="000D7473"/>
    <w:rsid w:val="000E0239"/>
    <w:rsid w:val="000E0295"/>
    <w:rsid w:val="000E1C1F"/>
    <w:rsid w:val="000E1CF1"/>
    <w:rsid w:val="000E3013"/>
    <w:rsid w:val="000E307C"/>
    <w:rsid w:val="000E3343"/>
    <w:rsid w:val="000E3BFC"/>
    <w:rsid w:val="000E3F14"/>
    <w:rsid w:val="000E4167"/>
    <w:rsid w:val="000E43D1"/>
    <w:rsid w:val="000E59B1"/>
    <w:rsid w:val="000E6AD7"/>
    <w:rsid w:val="000E7DA0"/>
    <w:rsid w:val="000F05ED"/>
    <w:rsid w:val="000F12DF"/>
    <w:rsid w:val="000F1702"/>
    <w:rsid w:val="000F356C"/>
    <w:rsid w:val="000F3728"/>
    <w:rsid w:val="000F3DF1"/>
    <w:rsid w:val="000F4AA0"/>
    <w:rsid w:val="000F67A9"/>
    <w:rsid w:val="000F7269"/>
    <w:rsid w:val="001011E8"/>
    <w:rsid w:val="00101DB8"/>
    <w:rsid w:val="00102599"/>
    <w:rsid w:val="00102C67"/>
    <w:rsid w:val="00102F11"/>
    <w:rsid w:val="00103A66"/>
    <w:rsid w:val="0010462D"/>
    <w:rsid w:val="00105E5E"/>
    <w:rsid w:val="001061F1"/>
    <w:rsid w:val="00106610"/>
    <w:rsid w:val="00107906"/>
    <w:rsid w:val="00107C2C"/>
    <w:rsid w:val="00111AA5"/>
    <w:rsid w:val="00111AE0"/>
    <w:rsid w:val="00111AF7"/>
    <w:rsid w:val="00112D12"/>
    <w:rsid w:val="001134F3"/>
    <w:rsid w:val="00114836"/>
    <w:rsid w:val="00115268"/>
    <w:rsid w:val="0011591F"/>
    <w:rsid w:val="00115FE8"/>
    <w:rsid w:val="00116723"/>
    <w:rsid w:val="00116B54"/>
    <w:rsid w:val="00116FDE"/>
    <w:rsid w:val="00117178"/>
    <w:rsid w:val="00117299"/>
    <w:rsid w:val="001201FD"/>
    <w:rsid w:val="00121543"/>
    <w:rsid w:val="001232E7"/>
    <w:rsid w:val="00123750"/>
    <w:rsid w:val="00124445"/>
    <w:rsid w:val="00124819"/>
    <w:rsid w:val="00127602"/>
    <w:rsid w:val="0013131F"/>
    <w:rsid w:val="00133706"/>
    <w:rsid w:val="0013371A"/>
    <w:rsid w:val="00137985"/>
    <w:rsid w:val="00140097"/>
    <w:rsid w:val="00141AEA"/>
    <w:rsid w:val="00141CF8"/>
    <w:rsid w:val="001420E4"/>
    <w:rsid w:val="0014254E"/>
    <w:rsid w:val="00142BE3"/>
    <w:rsid w:val="00142F6F"/>
    <w:rsid w:val="00143140"/>
    <w:rsid w:val="0014314A"/>
    <w:rsid w:val="00143DFD"/>
    <w:rsid w:val="001456F4"/>
    <w:rsid w:val="00145FBB"/>
    <w:rsid w:val="0015058E"/>
    <w:rsid w:val="00150668"/>
    <w:rsid w:val="00152572"/>
    <w:rsid w:val="0015271F"/>
    <w:rsid w:val="00153693"/>
    <w:rsid w:val="001543D3"/>
    <w:rsid w:val="00154E56"/>
    <w:rsid w:val="00155154"/>
    <w:rsid w:val="00155DBB"/>
    <w:rsid w:val="00156C15"/>
    <w:rsid w:val="0015732A"/>
    <w:rsid w:val="00157DB9"/>
    <w:rsid w:val="001612F1"/>
    <w:rsid w:val="001619ED"/>
    <w:rsid w:val="0016266D"/>
    <w:rsid w:val="00163D6A"/>
    <w:rsid w:val="00164334"/>
    <w:rsid w:val="00166368"/>
    <w:rsid w:val="001663B9"/>
    <w:rsid w:val="001672B7"/>
    <w:rsid w:val="00171012"/>
    <w:rsid w:val="00171149"/>
    <w:rsid w:val="00171FCE"/>
    <w:rsid w:val="001722D2"/>
    <w:rsid w:val="001724CD"/>
    <w:rsid w:val="00172B8E"/>
    <w:rsid w:val="00173108"/>
    <w:rsid w:val="00173535"/>
    <w:rsid w:val="001747D0"/>
    <w:rsid w:val="001749B5"/>
    <w:rsid w:val="00175161"/>
    <w:rsid w:val="0018034B"/>
    <w:rsid w:val="001818B3"/>
    <w:rsid w:val="00182348"/>
    <w:rsid w:val="0018314E"/>
    <w:rsid w:val="0018380A"/>
    <w:rsid w:val="00183850"/>
    <w:rsid w:val="00183861"/>
    <w:rsid w:val="001858A4"/>
    <w:rsid w:val="00185E3D"/>
    <w:rsid w:val="00185E86"/>
    <w:rsid w:val="0019112C"/>
    <w:rsid w:val="00191227"/>
    <w:rsid w:val="00191C77"/>
    <w:rsid w:val="00191C79"/>
    <w:rsid w:val="00192163"/>
    <w:rsid w:val="00192B20"/>
    <w:rsid w:val="00192B50"/>
    <w:rsid w:val="0019345A"/>
    <w:rsid w:val="00196871"/>
    <w:rsid w:val="00197AAC"/>
    <w:rsid w:val="00197C6D"/>
    <w:rsid w:val="001A041B"/>
    <w:rsid w:val="001A0EC3"/>
    <w:rsid w:val="001A14B6"/>
    <w:rsid w:val="001A3510"/>
    <w:rsid w:val="001A4CC5"/>
    <w:rsid w:val="001A6A80"/>
    <w:rsid w:val="001B0E1A"/>
    <w:rsid w:val="001B1F88"/>
    <w:rsid w:val="001B3ED1"/>
    <w:rsid w:val="001B3FC0"/>
    <w:rsid w:val="001B4F32"/>
    <w:rsid w:val="001B5630"/>
    <w:rsid w:val="001B7B1F"/>
    <w:rsid w:val="001C025B"/>
    <w:rsid w:val="001C1C78"/>
    <w:rsid w:val="001C2A1E"/>
    <w:rsid w:val="001C682E"/>
    <w:rsid w:val="001C689F"/>
    <w:rsid w:val="001C6C5E"/>
    <w:rsid w:val="001C7F14"/>
    <w:rsid w:val="001D09DA"/>
    <w:rsid w:val="001D40B5"/>
    <w:rsid w:val="001D4660"/>
    <w:rsid w:val="001D55E7"/>
    <w:rsid w:val="001D5CA3"/>
    <w:rsid w:val="001E14E7"/>
    <w:rsid w:val="001E20C1"/>
    <w:rsid w:val="001E2909"/>
    <w:rsid w:val="001E2D15"/>
    <w:rsid w:val="001E67AA"/>
    <w:rsid w:val="001E6A40"/>
    <w:rsid w:val="001F01F9"/>
    <w:rsid w:val="001F0D1D"/>
    <w:rsid w:val="001F130E"/>
    <w:rsid w:val="001F145E"/>
    <w:rsid w:val="001F1B67"/>
    <w:rsid w:val="001F20FC"/>
    <w:rsid w:val="001F4ED0"/>
    <w:rsid w:val="001F6E53"/>
    <w:rsid w:val="00200EF5"/>
    <w:rsid w:val="00201ADF"/>
    <w:rsid w:val="00201F71"/>
    <w:rsid w:val="00202A1B"/>
    <w:rsid w:val="00202D15"/>
    <w:rsid w:val="002042EA"/>
    <w:rsid w:val="00204508"/>
    <w:rsid w:val="00204675"/>
    <w:rsid w:val="00205DE6"/>
    <w:rsid w:val="0020664E"/>
    <w:rsid w:val="0021042B"/>
    <w:rsid w:val="002105E7"/>
    <w:rsid w:val="002112E5"/>
    <w:rsid w:val="002135BA"/>
    <w:rsid w:val="002136BD"/>
    <w:rsid w:val="00213B98"/>
    <w:rsid w:val="00214926"/>
    <w:rsid w:val="00216629"/>
    <w:rsid w:val="0022122D"/>
    <w:rsid w:val="00221DD2"/>
    <w:rsid w:val="002232A2"/>
    <w:rsid w:val="002235C5"/>
    <w:rsid w:val="00224121"/>
    <w:rsid w:val="002250D3"/>
    <w:rsid w:val="00225F45"/>
    <w:rsid w:val="00226211"/>
    <w:rsid w:val="002267BB"/>
    <w:rsid w:val="002317D2"/>
    <w:rsid w:val="002318A3"/>
    <w:rsid w:val="00232D5F"/>
    <w:rsid w:val="002330D7"/>
    <w:rsid w:val="0023341F"/>
    <w:rsid w:val="002345EA"/>
    <w:rsid w:val="002351C7"/>
    <w:rsid w:val="00235AF5"/>
    <w:rsid w:val="00236058"/>
    <w:rsid w:val="0023664B"/>
    <w:rsid w:val="00236F79"/>
    <w:rsid w:val="0023752E"/>
    <w:rsid w:val="00240492"/>
    <w:rsid w:val="0024091D"/>
    <w:rsid w:val="00241F32"/>
    <w:rsid w:val="00242B2D"/>
    <w:rsid w:val="00244365"/>
    <w:rsid w:val="0024595F"/>
    <w:rsid w:val="00245BA0"/>
    <w:rsid w:val="00246F0A"/>
    <w:rsid w:val="00247598"/>
    <w:rsid w:val="002478C6"/>
    <w:rsid w:val="0024790C"/>
    <w:rsid w:val="00252B59"/>
    <w:rsid w:val="00252E8A"/>
    <w:rsid w:val="00253A53"/>
    <w:rsid w:val="00253AF4"/>
    <w:rsid w:val="0025471A"/>
    <w:rsid w:val="00254D46"/>
    <w:rsid w:val="002606A6"/>
    <w:rsid w:val="00261972"/>
    <w:rsid w:val="002626B8"/>
    <w:rsid w:val="00262FBF"/>
    <w:rsid w:val="00263DC2"/>
    <w:rsid w:val="00264156"/>
    <w:rsid w:val="00265CCB"/>
    <w:rsid w:val="00267264"/>
    <w:rsid w:val="00267D15"/>
    <w:rsid w:val="00267EC8"/>
    <w:rsid w:val="00271349"/>
    <w:rsid w:val="00273205"/>
    <w:rsid w:val="00274AC0"/>
    <w:rsid w:val="00275127"/>
    <w:rsid w:val="00277274"/>
    <w:rsid w:val="00280361"/>
    <w:rsid w:val="0028284D"/>
    <w:rsid w:val="00282E96"/>
    <w:rsid w:val="0028345E"/>
    <w:rsid w:val="00283929"/>
    <w:rsid w:val="00284172"/>
    <w:rsid w:val="00284479"/>
    <w:rsid w:val="0028631C"/>
    <w:rsid w:val="00286334"/>
    <w:rsid w:val="0028655E"/>
    <w:rsid w:val="0028708D"/>
    <w:rsid w:val="00287785"/>
    <w:rsid w:val="00287B06"/>
    <w:rsid w:val="00287C39"/>
    <w:rsid w:val="00292414"/>
    <w:rsid w:val="00292BD0"/>
    <w:rsid w:val="00292CAD"/>
    <w:rsid w:val="002934DE"/>
    <w:rsid w:val="00294CC3"/>
    <w:rsid w:val="00295B9A"/>
    <w:rsid w:val="00295CFB"/>
    <w:rsid w:val="0029638B"/>
    <w:rsid w:val="00297305"/>
    <w:rsid w:val="00297A31"/>
    <w:rsid w:val="00297ECB"/>
    <w:rsid w:val="002A24E0"/>
    <w:rsid w:val="002A2E53"/>
    <w:rsid w:val="002A39A6"/>
    <w:rsid w:val="002A455D"/>
    <w:rsid w:val="002A5142"/>
    <w:rsid w:val="002A627B"/>
    <w:rsid w:val="002B11C9"/>
    <w:rsid w:val="002B2BDE"/>
    <w:rsid w:val="002B4E22"/>
    <w:rsid w:val="002B7792"/>
    <w:rsid w:val="002B7EB2"/>
    <w:rsid w:val="002C0CC8"/>
    <w:rsid w:val="002C2925"/>
    <w:rsid w:val="002C29F6"/>
    <w:rsid w:val="002C37D3"/>
    <w:rsid w:val="002C65B9"/>
    <w:rsid w:val="002C71EF"/>
    <w:rsid w:val="002C7232"/>
    <w:rsid w:val="002D10C0"/>
    <w:rsid w:val="002D249C"/>
    <w:rsid w:val="002D73FA"/>
    <w:rsid w:val="002E03A4"/>
    <w:rsid w:val="002E1558"/>
    <w:rsid w:val="002E37D0"/>
    <w:rsid w:val="002E3888"/>
    <w:rsid w:val="002E3D8A"/>
    <w:rsid w:val="002E3E0A"/>
    <w:rsid w:val="002E5A4A"/>
    <w:rsid w:val="002E6406"/>
    <w:rsid w:val="002E73DF"/>
    <w:rsid w:val="002E7453"/>
    <w:rsid w:val="002E794B"/>
    <w:rsid w:val="002F0A7C"/>
    <w:rsid w:val="002F21F0"/>
    <w:rsid w:val="002F362E"/>
    <w:rsid w:val="002F37E2"/>
    <w:rsid w:val="002F42D1"/>
    <w:rsid w:val="002F532F"/>
    <w:rsid w:val="002F5402"/>
    <w:rsid w:val="002F62BD"/>
    <w:rsid w:val="002F7EF3"/>
    <w:rsid w:val="0030477E"/>
    <w:rsid w:val="0030510C"/>
    <w:rsid w:val="003072F9"/>
    <w:rsid w:val="003077CC"/>
    <w:rsid w:val="003079C9"/>
    <w:rsid w:val="00310B88"/>
    <w:rsid w:val="003111BE"/>
    <w:rsid w:val="00311AF6"/>
    <w:rsid w:val="00311DCD"/>
    <w:rsid w:val="00312226"/>
    <w:rsid w:val="00313834"/>
    <w:rsid w:val="00313D1F"/>
    <w:rsid w:val="003140E3"/>
    <w:rsid w:val="0031547B"/>
    <w:rsid w:val="00315AAA"/>
    <w:rsid w:val="00315D01"/>
    <w:rsid w:val="00317B8F"/>
    <w:rsid w:val="00320EA0"/>
    <w:rsid w:val="003233A7"/>
    <w:rsid w:val="003240DA"/>
    <w:rsid w:val="00324720"/>
    <w:rsid w:val="00325924"/>
    <w:rsid w:val="00327C15"/>
    <w:rsid w:val="00330AE3"/>
    <w:rsid w:val="00330E4E"/>
    <w:rsid w:val="00331BAE"/>
    <w:rsid w:val="00331FE7"/>
    <w:rsid w:val="00333BCD"/>
    <w:rsid w:val="003340FA"/>
    <w:rsid w:val="003341BE"/>
    <w:rsid w:val="00334743"/>
    <w:rsid w:val="00335501"/>
    <w:rsid w:val="003368AF"/>
    <w:rsid w:val="00341696"/>
    <w:rsid w:val="00341977"/>
    <w:rsid w:val="0034281B"/>
    <w:rsid w:val="00342AA4"/>
    <w:rsid w:val="00342DC3"/>
    <w:rsid w:val="00343AFF"/>
    <w:rsid w:val="00345589"/>
    <w:rsid w:val="0034598F"/>
    <w:rsid w:val="0034648C"/>
    <w:rsid w:val="003471C4"/>
    <w:rsid w:val="003474BA"/>
    <w:rsid w:val="003500A1"/>
    <w:rsid w:val="003517AD"/>
    <w:rsid w:val="00351819"/>
    <w:rsid w:val="00352503"/>
    <w:rsid w:val="00352F36"/>
    <w:rsid w:val="0035313E"/>
    <w:rsid w:val="0035344F"/>
    <w:rsid w:val="003537B9"/>
    <w:rsid w:val="00353C2A"/>
    <w:rsid w:val="00353F62"/>
    <w:rsid w:val="003551BB"/>
    <w:rsid w:val="003555DD"/>
    <w:rsid w:val="003557F6"/>
    <w:rsid w:val="00356D97"/>
    <w:rsid w:val="00357CC9"/>
    <w:rsid w:val="00361165"/>
    <w:rsid w:val="00362A46"/>
    <w:rsid w:val="00363B50"/>
    <w:rsid w:val="0036491B"/>
    <w:rsid w:val="003660C7"/>
    <w:rsid w:val="0037132A"/>
    <w:rsid w:val="0037177C"/>
    <w:rsid w:val="00372960"/>
    <w:rsid w:val="00373089"/>
    <w:rsid w:val="0037594C"/>
    <w:rsid w:val="00377F72"/>
    <w:rsid w:val="00380711"/>
    <w:rsid w:val="003809E9"/>
    <w:rsid w:val="00382985"/>
    <w:rsid w:val="00382CDD"/>
    <w:rsid w:val="0038428E"/>
    <w:rsid w:val="003870C6"/>
    <w:rsid w:val="00387160"/>
    <w:rsid w:val="00387CD0"/>
    <w:rsid w:val="00391525"/>
    <w:rsid w:val="0039260F"/>
    <w:rsid w:val="00392D46"/>
    <w:rsid w:val="00393E8B"/>
    <w:rsid w:val="003949F9"/>
    <w:rsid w:val="00394D34"/>
    <w:rsid w:val="00395CCE"/>
    <w:rsid w:val="0039608B"/>
    <w:rsid w:val="00397139"/>
    <w:rsid w:val="00397F3C"/>
    <w:rsid w:val="003A0847"/>
    <w:rsid w:val="003A1A6C"/>
    <w:rsid w:val="003A2BDE"/>
    <w:rsid w:val="003A4237"/>
    <w:rsid w:val="003A451E"/>
    <w:rsid w:val="003A4A16"/>
    <w:rsid w:val="003A55E0"/>
    <w:rsid w:val="003A686E"/>
    <w:rsid w:val="003A688E"/>
    <w:rsid w:val="003A78AB"/>
    <w:rsid w:val="003B0197"/>
    <w:rsid w:val="003B0FA8"/>
    <w:rsid w:val="003B1165"/>
    <w:rsid w:val="003B1BA5"/>
    <w:rsid w:val="003B292B"/>
    <w:rsid w:val="003B37CF"/>
    <w:rsid w:val="003B5016"/>
    <w:rsid w:val="003B64AF"/>
    <w:rsid w:val="003C020B"/>
    <w:rsid w:val="003C1729"/>
    <w:rsid w:val="003C1D4E"/>
    <w:rsid w:val="003C2D42"/>
    <w:rsid w:val="003C3893"/>
    <w:rsid w:val="003C427E"/>
    <w:rsid w:val="003C4FFD"/>
    <w:rsid w:val="003C54FD"/>
    <w:rsid w:val="003C5FEB"/>
    <w:rsid w:val="003C73C7"/>
    <w:rsid w:val="003D18C9"/>
    <w:rsid w:val="003D22CB"/>
    <w:rsid w:val="003D2BDC"/>
    <w:rsid w:val="003D46AB"/>
    <w:rsid w:val="003D4E76"/>
    <w:rsid w:val="003D5044"/>
    <w:rsid w:val="003D6264"/>
    <w:rsid w:val="003D6EF6"/>
    <w:rsid w:val="003D7DFB"/>
    <w:rsid w:val="003E0F92"/>
    <w:rsid w:val="003E13A3"/>
    <w:rsid w:val="003E1CCE"/>
    <w:rsid w:val="003E24FA"/>
    <w:rsid w:val="003E2546"/>
    <w:rsid w:val="003E30B6"/>
    <w:rsid w:val="003E3545"/>
    <w:rsid w:val="003E4E8F"/>
    <w:rsid w:val="003E631D"/>
    <w:rsid w:val="003E6862"/>
    <w:rsid w:val="003E7573"/>
    <w:rsid w:val="003F005D"/>
    <w:rsid w:val="003F13F9"/>
    <w:rsid w:val="003F2AAC"/>
    <w:rsid w:val="003F2EF5"/>
    <w:rsid w:val="003F3F18"/>
    <w:rsid w:val="003F4719"/>
    <w:rsid w:val="003F49BF"/>
    <w:rsid w:val="003F5171"/>
    <w:rsid w:val="003F5977"/>
    <w:rsid w:val="003F652C"/>
    <w:rsid w:val="003F658D"/>
    <w:rsid w:val="003F6C77"/>
    <w:rsid w:val="003F7429"/>
    <w:rsid w:val="003F7CAA"/>
    <w:rsid w:val="003F7EDC"/>
    <w:rsid w:val="004001F1"/>
    <w:rsid w:val="00401AD6"/>
    <w:rsid w:val="00401F48"/>
    <w:rsid w:val="004026E0"/>
    <w:rsid w:val="00403096"/>
    <w:rsid w:val="0040371D"/>
    <w:rsid w:val="0040407A"/>
    <w:rsid w:val="00405A60"/>
    <w:rsid w:val="0040663F"/>
    <w:rsid w:val="00407409"/>
    <w:rsid w:val="00412A7C"/>
    <w:rsid w:val="00413E92"/>
    <w:rsid w:val="00417135"/>
    <w:rsid w:val="004175C2"/>
    <w:rsid w:val="004208A7"/>
    <w:rsid w:val="00420972"/>
    <w:rsid w:val="004212D2"/>
    <w:rsid w:val="0042150D"/>
    <w:rsid w:val="00423CA0"/>
    <w:rsid w:val="0042402A"/>
    <w:rsid w:val="004240DA"/>
    <w:rsid w:val="00425210"/>
    <w:rsid w:val="0042549D"/>
    <w:rsid w:val="004261D3"/>
    <w:rsid w:val="00427B1B"/>
    <w:rsid w:val="004306BE"/>
    <w:rsid w:val="00430901"/>
    <w:rsid w:val="00431C4B"/>
    <w:rsid w:val="00432DF2"/>
    <w:rsid w:val="00433749"/>
    <w:rsid w:val="004337AF"/>
    <w:rsid w:val="00433A7A"/>
    <w:rsid w:val="004357EC"/>
    <w:rsid w:val="00435EE6"/>
    <w:rsid w:val="00436C37"/>
    <w:rsid w:val="00440157"/>
    <w:rsid w:val="00440A8C"/>
    <w:rsid w:val="00441846"/>
    <w:rsid w:val="0044289D"/>
    <w:rsid w:val="00442BB3"/>
    <w:rsid w:val="00442D00"/>
    <w:rsid w:val="00445993"/>
    <w:rsid w:val="00445C5F"/>
    <w:rsid w:val="0044619E"/>
    <w:rsid w:val="00446F49"/>
    <w:rsid w:val="00447356"/>
    <w:rsid w:val="0045082A"/>
    <w:rsid w:val="00450DFE"/>
    <w:rsid w:val="0045149B"/>
    <w:rsid w:val="00451A80"/>
    <w:rsid w:val="004527F6"/>
    <w:rsid w:val="0045399B"/>
    <w:rsid w:val="00453B7F"/>
    <w:rsid w:val="00453BA6"/>
    <w:rsid w:val="004545E1"/>
    <w:rsid w:val="0045473A"/>
    <w:rsid w:val="00454EF2"/>
    <w:rsid w:val="004567CB"/>
    <w:rsid w:val="0046253D"/>
    <w:rsid w:val="004637D0"/>
    <w:rsid w:val="00467375"/>
    <w:rsid w:val="00467879"/>
    <w:rsid w:val="0047139A"/>
    <w:rsid w:val="00472522"/>
    <w:rsid w:val="00472D8F"/>
    <w:rsid w:val="00473BBA"/>
    <w:rsid w:val="00474924"/>
    <w:rsid w:val="00477CDF"/>
    <w:rsid w:val="004800D9"/>
    <w:rsid w:val="00480BFD"/>
    <w:rsid w:val="00480C49"/>
    <w:rsid w:val="00480FC4"/>
    <w:rsid w:val="004812B0"/>
    <w:rsid w:val="004812EC"/>
    <w:rsid w:val="00483378"/>
    <w:rsid w:val="00484D3C"/>
    <w:rsid w:val="0048715D"/>
    <w:rsid w:val="00487E69"/>
    <w:rsid w:val="00490AF4"/>
    <w:rsid w:val="004910E5"/>
    <w:rsid w:val="00491A8C"/>
    <w:rsid w:val="0049513E"/>
    <w:rsid w:val="00495DE3"/>
    <w:rsid w:val="00496540"/>
    <w:rsid w:val="004A0D88"/>
    <w:rsid w:val="004A1A0F"/>
    <w:rsid w:val="004A29A4"/>
    <w:rsid w:val="004A3A8A"/>
    <w:rsid w:val="004A457F"/>
    <w:rsid w:val="004A4768"/>
    <w:rsid w:val="004A4F46"/>
    <w:rsid w:val="004A5E53"/>
    <w:rsid w:val="004A651F"/>
    <w:rsid w:val="004A6D01"/>
    <w:rsid w:val="004A7627"/>
    <w:rsid w:val="004B00B3"/>
    <w:rsid w:val="004B0D9A"/>
    <w:rsid w:val="004B18D6"/>
    <w:rsid w:val="004B2F27"/>
    <w:rsid w:val="004B35E4"/>
    <w:rsid w:val="004B4E6B"/>
    <w:rsid w:val="004B5046"/>
    <w:rsid w:val="004B5967"/>
    <w:rsid w:val="004B5DA8"/>
    <w:rsid w:val="004B616B"/>
    <w:rsid w:val="004B678E"/>
    <w:rsid w:val="004C0760"/>
    <w:rsid w:val="004C0919"/>
    <w:rsid w:val="004C118F"/>
    <w:rsid w:val="004C1EB6"/>
    <w:rsid w:val="004C3959"/>
    <w:rsid w:val="004C40B3"/>
    <w:rsid w:val="004C4E91"/>
    <w:rsid w:val="004C70EC"/>
    <w:rsid w:val="004D121F"/>
    <w:rsid w:val="004D17E6"/>
    <w:rsid w:val="004D1C84"/>
    <w:rsid w:val="004D1D73"/>
    <w:rsid w:val="004D41F7"/>
    <w:rsid w:val="004D69F9"/>
    <w:rsid w:val="004D70B5"/>
    <w:rsid w:val="004D746C"/>
    <w:rsid w:val="004E0497"/>
    <w:rsid w:val="004E0AFA"/>
    <w:rsid w:val="004E1011"/>
    <w:rsid w:val="004E2DE6"/>
    <w:rsid w:val="004E454C"/>
    <w:rsid w:val="004E546F"/>
    <w:rsid w:val="004E5E79"/>
    <w:rsid w:val="004E6244"/>
    <w:rsid w:val="004E7BFC"/>
    <w:rsid w:val="004F09E9"/>
    <w:rsid w:val="004F0B78"/>
    <w:rsid w:val="004F0BDE"/>
    <w:rsid w:val="004F0E5D"/>
    <w:rsid w:val="004F1038"/>
    <w:rsid w:val="004F1EC4"/>
    <w:rsid w:val="004F24CF"/>
    <w:rsid w:val="004F4190"/>
    <w:rsid w:val="004F5D07"/>
    <w:rsid w:val="004F69E8"/>
    <w:rsid w:val="004F76E6"/>
    <w:rsid w:val="00502F1F"/>
    <w:rsid w:val="00503716"/>
    <w:rsid w:val="00503FB8"/>
    <w:rsid w:val="005042DE"/>
    <w:rsid w:val="00505EB1"/>
    <w:rsid w:val="00506143"/>
    <w:rsid w:val="0050654B"/>
    <w:rsid w:val="0050687B"/>
    <w:rsid w:val="00507457"/>
    <w:rsid w:val="00511009"/>
    <w:rsid w:val="00511A13"/>
    <w:rsid w:val="00513298"/>
    <w:rsid w:val="0051390B"/>
    <w:rsid w:val="005146BB"/>
    <w:rsid w:val="005147F0"/>
    <w:rsid w:val="0051480B"/>
    <w:rsid w:val="005154CF"/>
    <w:rsid w:val="00515AA2"/>
    <w:rsid w:val="0052092C"/>
    <w:rsid w:val="00524424"/>
    <w:rsid w:val="005258BE"/>
    <w:rsid w:val="005262AD"/>
    <w:rsid w:val="00526516"/>
    <w:rsid w:val="0052663A"/>
    <w:rsid w:val="00527986"/>
    <w:rsid w:val="00527C33"/>
    <w:rsid w:val="005301DE"/>
    <w:rsid w:val="005301E6"/>
    <w:rsid w:val="00533611"/>
    <w:rsid w:val="00535612"/>
    <w:rsid w:val="00535946"/>
    <w:rsid w:val="00536DA9"/>
    <w:rsid w:val="00537074"/>
    <w:rsid w:val="00542D81"/>
    <w:rsid w:val="00542DB9"/>
    <w:rsid w:val="00543068"/>
    <w:rsid w:val="00543E35"/>
    <w:rsid w:val="00543E76"/>
    <w:rsid w:val="00545484"/>
    <w:rsid w:val="0054562C"/>
    <w:rsid w:val="005467AA"/>
    <w:rsid w:val="0054701B"/>
    <w:rsid w:val="00547D7B"/>
    <w:rsid w:val="0055043E"/>
    <w:rsid w:val="00551BDC"/>
    <w:rsid w:val="00551D13"/>
    <w:rsid w:val="00551E58"/>
    <w:rsid w:val="00553832"/>
    <w:rsid w:val="00555C2A"/>
    <w:rsid w:val="00555CA5"/>
    <w:rsid w:val="005560A9"/>
    <w:rsid w:val="005567C9"/>
    <w:rsid w:val="00556D2D"/>
    <w:rsid w:val="00557979"/>
    <w:rsid w:val="005579EE"/>
    <w:rsid w:val="0056095C"/>
    <w:rsid w:val="00560EE3"/>
    <w:rsid w:val="005613A4"/>
    <w:rsid w:val="00562259"/>
    <w:rsid w:val="00563468"/>
    <w:rsid w:val="00563BFB"/>
    <w:rsid w:val="005642BF"/>
    <w:rsid w:val="00564557"/>
    <w:rsid w:val="00565892"/>
    <w:rsid w:val="00565BB1"/>
    <w:rsid w:val="00565E16"/>
    <w:rsid w:val="00566706"/>
    <w:rsid w:val="0056674E"/>
    <w:rsid w:val="005673D3"/>
    <w:rsid w:val="00567BEB"/>
    <w:rsid w:val="00570859"/>
    <w:rsid w:val="00571864"/>
    <w:rsid w:val="00571DB8"/>
    <w:rsid w:val="005728F1"/>
    <w:rsid w:val="00572D32"/>
    <w:rsid w:val="00572E2E"/>
    <w:rsid w:val="00573930"/>
    <w:rsid w:val="0057508F"/>
    <w:rsid w:val="0057542C"/>
    <w:rsid w:val="00576DC8"/>
    <w:rsid w:val="005771A6"/>
    <w:rsid w:val="00585558"/>
    <w:rsid w:val="00586B96"/>
    <w:rsid w:val="005873F9"/>
    <w:rsid w:val="00591352"/>
    <w:rsid w:val="00591D83"/>
    <w:rsid w:val="0059272A"/>
    <w:rsid w:val="00593902"/>
    <w:rsid w:val="00595CBC"/>
    <w:rsid w:val="005968F4"/>
    <w:rsid w:val="005A1793"/>
    <w:rsid w:val="005A1AA1"/>
    <w:rsid w:val="005A1FBE"/>
    <w:rsid w:val="005A201E"/>
    <w:rsid w:val="005A2C81"/>
    <w:rsid w:val="005A451E"/>
    <w:rsid w:val="005A4B62"/>
    <w:rsid w:val="005A5E04"/>
    <w:rsid w:val="005B0D55"/>
    <w:rsid w:val="005B1747"/>
    <w:rsid w:val="005B3064"/>
    <w:rsid w:val="005B35BC"/>
    <w:rsid w:val="005B3A7A"/>
    <w:rsid w:val="005B485A"/>
    <w:rsid w:val="005B4EAC"/>
    <w:rsid w:val="005B5B5C"/>
    <w:rsid w:val="005B786A"/>
    <w:rsid w:val="005C0AE5"/>
    <w:rsid w:val="005C0EA4"/>
    <w:rsid w:val="005C1506"/>
    <w:rsid w:val="005C1918"/>
    <w:rsid w:val="005C1ADF"/>
    <w:rsid w:val="005C1D91"/>
    <w:rsid w:val="005C3792"/>
    <w:rsid w:val="005C3EEF"/>
    <w:rsid w:val="005C62B7"/>
    <w:rsid w:val="005C6E98"/>
    <w:rsid w:val="005C741C"/>
    <w:rsid w:val="005D47D9"/>
    <w:rsid w:val="005D562B"/>
    <w:rsid w:val="005D5650"/>
    <w:rsid w:val="005D5BC1"/>
    <w:rsid w:val="005D7054"/>
    <w:rsid w:val="005E115F"/>
    <w:rsid w:val="005E5147"/>
    <w:rsid w:val="005F15D5"/>
    <w:rsid w:val="005F3AF8"/>
    <w:rsid w:val="005F480B"/>
    <w:rsid w:val="005F55FB"/>
    <w:rsid w:val="005F573A"/>
    <w:rsid w:val="005F638C"/>
    <w:rsid w:val="005F67C7"/>
    <w:rsid w:val="005F7DDA"/>
    <w:rsid w:val="00600EEC"/>
    <w:rsid w:val="006016E3"/>
    <w:rsid w:val="006019A2"/>
    <w:rsid w:val="006019EE"/>
    <w:rsid w:val="00601E18"/>
    <w:rsid w:val="0060313E"/>
    <w:rsid w:val="00605368"/>
    <w:rsid w:val="00607D40"/>
    <w:rsid w:val="0061075F"/>
    <w:rsid w:val="006119C7"/>
    <w:rsid w:val="0061269C"/>
    <w:rsid w:val="00613780"/>
    <w:rsid w:val="00613A47"/>
    <w:rsid w:val="006142E0"/>
    <w:rsid w:val="00614449"/>
    <w:rsid w:val="006157FD"/>
    <w:rsid w:val="00615940"/>
    <w:rsid w:val="00616026"/>
    <w:rsid w:val="00621B69"/>
    <w:rsid w:val="00623C3D"/>
    <w:rsid w:val="006256EE"/>
    <w:rsid w:val="00626171"/>
    <w:rsid w:val="00626495"/>
    <w:rsid w:val="0062695F"/>
    <w:rsid w:val="0062736E"/>
    <w:rsid w:val="00627797"/>
    <w:rsid w:val="00630D58"/>
    <w:rsid w:val="006322E0"/>
    <w:rsid w:val="0063348F"/>
    <w:rsid w:val="00633ABC"/>
    <w:rsid w:val="0063429B"/>
    <w:rsid w:val="006351C3"/>
    <w:rsid w:val="00635AD6"/>
    <w:rsid w:val="0063600B"/>
    <w:rsid w:val="00637D15"/>
    <w:rsid w:val="0064158C"/>
    <w:rsid w:val="00641B27"/>
    <w:rsid w:val="00641BA2"/>
    <w:rsid w:val="0064345F"/>
    <w:rsid w:val="00643853"/>
    <w:rsid w:val="0064489C"/>
    <w:rsid w:val="00644BD8"/>
    <w:rsid w:val="00644D54"/>
    <w:rsid w:val="00645CEB"/>
    <w:rsid w:val="0064660B"/>
    <w:rsid w:val="006475E3"/>
    <w:rsid w:val="00650526"/>
    <w:rsid w:val="0065056E"/>
    <w:rsid w:val="006506A5"/>
    <w:rsid w:val="00651E2F"/>
    <w:rsid w:val="00652E4C"/>
    <w:rsid w:val="0065507A"/>
    <w:rsid w:val="00655BCE"/>
    <w:rsid w:val="00657121"/>
    <w:rsid w:val="00661E90"/>
    <w:rsid w:val="006623FC"/>
    <w:rsid w:val="00662A24"/>
    <w:rsid w:val="006632EC"/>
    <w:rsid w:val="006637F3"/>
    <w:rsid w:val="00663923"/>
    <w:rsid w:val="00663FD4"/>
    <w:rsid w:val="00664AF5"/>
    <w:rsid w:val="00666E3B"/>
    <w:rsid w:val="00667160"/>
    <w:rsid w:val="00670E64"/>
    <w:rsid w:val="00671048"/>
    <w:rsid w:val="00671EBD"/>
    <w:rsid w:val="00673A92"/>
    <w:rsid w:val="00676017"/>
    <w:rsid w:val="006767CC"/>
    <w:rsid w:val="00676BEE"/>
    <w:rsid w:val="00676F16"/>
    <w:rsid w:val="00676F49"/>
    <w:rsid w:val="00677BD4"/>
    <w:rsid w:val="006805E1"/>
    <w:rsid w:val="00680EE5"/>
    <w:rsid w:val="00681CC8"/>
    <w:rsid w:val="00682331"/>
    <w:rsid w:val="00682845"/>
    <w:rsid w:val="00682E54"/>
    <w:rsid w:val="00684597"/>
    <w:rsid w:val="00685042"/>
    <w:rsid w:val="0068639F"/>
    <w:rsid w:val="0068733B"/>
    <w:rsid w:val="006900F3"/>
    <w:rsid w:val="0069022C"/>
    <w:rsid w:val="00690827"/>
    <w:rsid w:val="00690A3A"/>
    <w:rsid w:val="00690D19"/>
    <w:rsid w:val="00690E07"/>
    <w:rsid w:val="00691336"/>
    <w:rsid w:val="006920C8"/>
    <w:rsid w:val="00693915"/>
    <w:rsid w:val="00694D44"/>
    <w:rsid w:val="00697099"/>
    <w:rsid w:val="00697240"/>
    <w:rsid w:val="00697B3F"/>
    <w:rsid w:val="006A0656"/>
    <w:rsid w:val="006A0BE1"/>
    <w:rsid w:val="006A2CE1"/>
    <w:rsid w:val="006A2F2D"/>
    <w:rsid w:val="006A5474"/>
    <w:rsid w:val="006A55BC"/>
    <w:rsid w:val="006A5A36"/>
    <w:rsid w:val="006A5A8E"/>
    <w:rsid w:val="006A5F2E"/>
    <w:rsid w:val="006B06F7"/>
    <w:rsid w:val="006B0799"/>
    <w:rsid w:val="006B08BD"/>
    <w:rsid w:val="006B2C36"/>
    <w:rsid w:val="006B2DFE"/>
    <w:rsid w:val="006B42DE"/>
    <w:rsid w:val="006B5CA9"/>
    <w:rsid w:val="006B5E93"/>
    <w:rsid w:val="006B71A5"/>
    <w:rsid w:val="006B7624"/>
    <w:rsid w:val="006B7EEE"/>
    <w:rsid w:val="006C0CAD"/>
    <w:rsid w:val="006C0F04"/>
    <w:rsid w:val="006C4536"/>
    <w:rsid w:val="006C4A05"/>
    <w:rsid w:val="006D06A1"/>
    <w:rsid w:val="006D24B9"/>
    <w:rsid w:val="006D4EC5"/>
    <w:rsid w:val="006D6995"/>
    <w:rsid w:val="006E0AB0"/>
    <w:rsid w:val="006E1135"/>
    <w:rsid w:val="006E16D3"/>
    <w:rsid w:val="006E3492"/>
    <w:rsid w:val="006E41C2"/>
    <w:rsid w:val="006E41DA"/>
    <w:rsid w:val="006E4639"/>
    <w:rsid w:val="006E4BBF"/>
    <w:rsid w:val="006E5AF9"/>
    <w:rsid w:val="006E5E31"/>
    <w:rsid w:val="006E7589"/>
    <w:rsid w:val="006F0037"/>
    <w:rsid w:val="006F0E67"/>
    <w:rsid w:val="006F12CC"/>
    <w:rsid w:val="006F1E75"/>
    <w:rsid w:val="006F25CE"/>
    <w:rsid w:val="006F3467"/>
    <w:rsid w:val="006F727F"/>
    <w:rsid w:val="00700146"/>
    <w:rsid w:val="007001B5"/>
    <w:rsid w:val="00701BF3"/>
    <w:rsid w:val="0070446E"/>
    <w:rsid w:val="00704BED"/>
    <w:rsid w:val="007056CC"/>
    <w:rsid w:val="00706C8D"/>
    <w:rsid w:val="00706D4D"/>
    <w:rsid w:val="00706F48"/>
    <w:rsid w:val="0071082B"/>
    <w:rsid w:val="007113BD"/>
    <w:rsid w:val="00711E82"/>
    <w:rsid w:val="007138EC"/>
    <w:rsid w:val="00713A4B"/>
    <w:rsid w:val="007149E5"/>
    <w:rsid w:val="007155D0"/>
    <w:rsid w:val="007159A3"/>
    <w:rsid w:val="00715C23"/>
    <w:rsid w:val="007179E6"/>
    <w:rsid w:val="007179EF"/>
    <w:rsid w:val="00717EFB"/>
    <w:rsid w:val="007214FE"/>
    <w:rsid w:val="00721C4A"/>
    <w:rsid w:val="00721DAA"/>
    <w:rsid w:val="0072397C"/>
    <w:rsid w:val="00724C24"/>
    <w:rsid w:val="00724EC4"/>
    <w:rsid w:val="00725C9C"/>
    <w:rsid w:val="007268F7"/>
    <w:rsid w:val="0072691E"/>
    <w:rsid w:val="00730359"/>
    <w:rsid w:val="00732CDD"/>
    <w:rsid w:val="00732D24"/>
    <w:rsid w:val="00732E15"/>
    <w:rsid w:val="007345AC"/>
    <w:rsid w:val="00736D10"/>
    <w:rsid w:val="00737739"/>
    <w:rsid w:val="00737B0D"/>
    <w:rsid w:val="00741878"/>
    <w:rsid w:val="00743C59"/>
    <w:rsid w:val="00744849"/>
    <w:rsid w:val="00744C43"/>
    <w:rsid w:val="007455E2"/>
    <w:rsid w:val="00745BF1"/>
    <w:rsid w:val="00745DAB"/>
    <w:rsid w:val="00751DA1"/>
    <w:rsid w:val="00753954"/>
    <w:rsid w:val="00753B92"/>
    <w:rsid w:val="00755770"/>
    <w:rsid w:val="00755FD0"/>
    <w:rsid w:val="0075717A"/>
    <w:rsid w:val="0075735B"/>
    <w:rsid w:val="00760603"/>
    <w:rsid w:val="00761840"/>
    <w:rsid w:val="00762E7A"/>
    <w:rsid w:val="00763050"/>
    <w:rsid w:val="00763600"/>
    <w:rsid w:val="007638AA"/>
    <w:rsid w:val="00764325"/>
    <w:rsid w:val="0076534C"/>
    <w:rsid w:val="007660CF"/>
    <w:rsid w:val="00771F9D"/>
    <w:rsid w:val="007720C8"/>
    <w:rsid w:val="007729E2"/>
    <w:rsid w:val="0077450D"/>
    <w:rsid w:val="00775DB0"/>
    <w:rsid w:val="00777002"/>
    <w:rsid w:val="00777180"/>
    <w:rsid w:val="00780A48"/>
    <w:rsid w:val="00781299"/>
    <w:rsid w:val="0078240B"/>
    <w:rsid w:val="007825D2"/>
    <w:rsid w:val="007830B0"/>
    <w:rsid w:val="00785B22"/>
    <w:rsid w:val="00790135"/>
    <w:rsid w:val="0079232D"/>
    <w:rsid w:val="007934C5"/>
    <w:rsid w:val="007957F4"/>
    <w:rsid w:val="00796D25"/>
    <w:rsid w:val="00797343"/>
    <w:rsid w:val="007A0238"/>
    <w:rsid w:val="007A28CE"/>
    <w:rsid w:val="007A3095"/>
    <w:rsid w:val="007A30A4"/>
    <w:rsid w:val="007A477C"/>
    <w:rsid w:val="007A49A4"/>
    <w:rsid w:val="007A4CD4"/>
    <w:rsid w:val="007A540B"/>
    <w:rsid w:val="007A605E"/>
    <w:rsid w:val="007A6441"/>
    <w:rsid w:val="007A6551"/>
    <w:rsid w:val="007A7172"/>
    <w:rsid w:val="007A7F5C"/>
    <w:rsid w:val="007B00B7"/>
    <w:rsid w:val="007B1280"/>
    <w:rsid w:val="007B12D3"/>
    <w:rsid w:val="007B180C"/>
    <w:rsid w:val="007B3979"/>
    <w:rsid w:val="007B3ECF"/>
    <w:rsid w:val="007B469E"/>
    <w:rsid w:val="007B4DA4"/>
    <w:rsid w:val="007B56D5"/>
    <w:rsid w:val="007B586A"/>
    <w:rsid w:val="007B5C74"/>
    <w:rsid w:val="007B5CF9"/>
    <w:rsid w:val="007B6655"/>
    <w:rsid w:val="007B68A8"/>
    <w:rsid w:val="007C0955"/>
    <w:rsid w:val="007C1171"/>
    <w:rsid w:val="007C280F"/>
    <w:rsid w:val="007C48A5"/>
    <w:rsid w:val="007C4F9F"/>
    <w:rsid w:val="007C5177"/>
    <w:rsid w:val="007C59CC"/>
    <w:rsid w:val="007C6CC2"/>
    <w:rsid w:val="007D0926"/>
    <w:rsid w:val="007D16CD"/>
    <w:rsid w:val="007D2E59"/>
    <w:rsid w:val="007D54F4"/>
    <w:rsid w:val="007D5809"/>
    <w:rsid w:val="007D65CC"/>
    <w:rsid w:val="007D6701"/>
    <w:rsid w:val="007D7AAD"/>
    <w:rsid w:val="007E26E7"/>
    <w:rsid w:val="007E3090"/>
    <w:rsid w:val="007E33CA"/>
    <w:rsid w:val="007E3ECE"/>
    <w:rsid w:val="007E6276"/>
    <w:rsid w:val="007E7776"/>
    <w:rsid w:val="007E7A0B"/>
    <w:rsid w:val="007F28B3"/>
    <w:rsid w:val="007F3A73"/>
    <w:rsid w:val="007F3F76"/>
    <w:rsid w:val="007F4289"/>
    <w:rsid w:val="007F4827"/>
    <w:rsid w:val="007F612A"/>
    <w:rsid w:val="007F6875"/>
    <w:rsid w:val="007F68FA"/>
    <w:rsid w:val="007F6934"/>
    <w:rsid w:val="007F764E"/>
    <w:rsid w:val="0080212A"/>
    <w:rsid w:val="008034CA"/>
    <w:rsid w:val="00805EE7"/>
    <w:rsid w:val="00806934"/>
    <w:rsid w:val="00807487"/>
    <w:rsid w:val="0081088C"/>
    <w:rsid w:val="00811DEC"/>
    <w:rsid w:val="00813B37"/>
    <w:rsid w:val="00816616"/>
    <w:rsid w:val="008213FA"/>
    <w:rsid w:val="00822F9B"/>
    <w:rsid w:val="00825235"/>
    <w:rsid w:val="0082667D"/>
    <w:rsid w:val="00826704"/>
    <w:rsid w:val="0083045E"/>
    <w:rsid w:val="00830F53"/>
    <w:rsid w:val="0083113C"/>
    <w:rsid w:val="0083194C"/>
    <w:rsid w:val="0083208B"/>
    <w:rsid w:val="00833ABB"/>
    <w:rsid w:val="00836BC5"/>
    <w:rsid w:val="00837871"/>
    <w:rsid w:val="00837AEE"/>
    <w:rsid w:val="00842394"/>
    <w:rsid w:val="0084256A"/>
    <w:rsid w:val="00844164"/>
    <w:rsid w:val="0084683B"/>
    <w:rsid w:val="00846AC7"/>
    <w:rsid w:val="00846FC9"/>
    <w:rsid w:val="00850D73"/>
    <w:rsid w:val="008519C8"/>
    <w:rsid w:val="00852E4B"/>
    <w:rsid w:val="00852E64"/>
    <w:rsid w:val="00853967"/>
    <w:rsid w:val="008539CA"/>
    <w:rsid w:val="0085539C"/>
    <w:rsid w:val="0085596D"/>
    <w:rsid w:val="00855DB5"/>
    <w:rsid w:val="008573E3"/>
    <w:rsid w:val="008629AE"/>
    <w:rsid w:val="00865C49"/>
    <w:rsid w:val="00865F36"/>
    <w:rsid w:val="0086745A"/>
    <w:rsid w:val="00867FAE"/>
    <w:rsid w:val="00871392"/>
    <w:rsid w:val="0087282B"/>
    <w:rsid w:val="00873279"/>
    <w:rsid w:val="00876467"/>
    <w:rsid w:val="00877FC3"/>
    <w:rsid w:val="0088087A"/>
    <w:rsid w:val="00881CCC"/>
    <w:rsid w:val="00882F97"/>
    <w:rsid w:val="00883D9D"/>
    <w:rsid w:val="00884BEA"/>
    <w:rsid w:val="008867BF"/>
    <w:rsid w:val="008868BE"/>
    <w:rsid w:val="00886D59"/>
    <w:rsid w:val="00890875"/>
    <w:rsid w:val="00894141"/>
    <w:rsid w:val="008945FF"/>
    <w:rsid w:val="00895680"/>
    <w:rsid w:val="00896897"/>
    <w:rsid w:val="00896C57"/>
    <w:rsid w:val="00896D83"/>
    <w:rsid w:val="00897878"/>
    <w:rsid w:val="008A2448"/>
    <w:rsid w:val="008A314E"/>
    <w:rsid w:val="008A3166"/>
    <w:rsid w:val="008A59A6"/>
    <w:rsid w:val="008A5C77"/>
    <w:rsid w:val="008B00E9"/>
    <w:rsid w:val="008B36A9"/>
    <w:rsid w:val="008B3C03"/>
    <w:rsid w:val="008B3FA4"/>
    <w:rsid w:val="008B4615"/>
    <w:rsid w:val="008B47C1"/>
    <w:rsid w:val="008B4C7C"/>
    <w:rsid w:val="008B4EB4"/>
    <w:rsid w:val="008B6464"/>
    <w:rsid w:val="008B6630"/>
    <w:rsid w:val="008B7634"/>
    <w:rsid w:val="008C0BC5"/>
    <w:rsid w:val="008C127B"/>
    <w:rsid w:val="008C14ED"/>
    <w:rsid w:val="008C5B7C"/>
    <w:rsid w:val="008C5B92"/>
    <w:rsid w:val="008C5F76"/>
    <w:rsid w:val="008C6B1B"/>
    <w:rsid w:val="008C6C77"/>
    <w:rsid w:val="008C7A78"/>
    <w:rsid w:val="008C7D3E"/>
    <w:rsid w:val="008D0787"/>
    <w:rsid w:val="008D2BF3"/>
    <w:rsid w:val="008D2C58"/>
    <w:rsid w:val="008D3A42"/>
    <w:rsid w:val="008D3E9A"/>
    <w:rsid w:val="008D4069"/>
    <w:rsid w:val="008D40E8"/>
    <w:rsid w:val="008D40EB"/>
    <w:rsid w:val="008D5028"/>
    <w:rsid w:val="008D586F"/>
    <w:rsid w:val="008D64F4"/>
    <w:rsid w:val="008D71D1"/>
    <w:rsid w:val="008D798B"/>
    <w:rsid w:val="008D7A7C"/>
    <w:rsid w:val="008D7C6F"/>
    <w:rsid w:val="008E32EC"/>
    <w:rsid w:val="008E348D"/>
    <w:rsid w:val="008E363C"/>
    <w:rsid w:val="008E45AA"/>
    <w:rsid w:val="008E51C2"/>
    <w:rsid w:val="008E51D0"/>
    <w:rsid w:val="008E72CA"/>
    <w:rsid w:val="008F0C8E"/>
    <w:rsid w:val="008F5CC4"/>
    <w:rsid w:val="008F670D"/>
    <w:rsid w:val="008F6753"/>
    <w:rsid w:val="00900DD4"/>
    <w:rsid w:val="0090109A"/>
    <w:rsid w:val="00901B4F"/>
    <w:rsid w:val="00901FBA"/>
    <w:rsid w:val="0090264F"/>
    <w:rsid w:val="00903D75"/>
    <w:rsid w:val="00904E54"/>
    <w:rsid w:val="00906E78"/>
    <w:rsid w:val="00907517"/>
    <w:rsid w:val="00907EB6"/>
    <w:rsid w:val="009103AC"/>
    <w:rsid w:val="00911841"/>
    <w:rsid w:val="00911971"/>
    <w:rsid w:val="00912600"/>
    <w:rsid w:val="00912924"/>
    <w:rsid w:val="00912DEC"/>
    <w:rsid w:val="00914E02"/>
    <w:rsid w:val="0091581D"/>
    <w:rsid w:val="009166CF"/>
    <w:rsid w:val="00917129"/>
    <w:rsid w:val="00917E5D"/>
    <w:rsid w:val="00921D05"/>
    <w:rsid w:val="00922673"/>
    <w:rsid w:val="009240BD"/>
    <w:rsid w:val="00924249"/>
    <w:rsid w:val="00924422"/>
    <w:rsid w:val="009244FF"/>
    <w:rsid w:val="00924A73"/>
    <w:rsid w:val="00924D7D"/>
    <w:rsid w:val="00926B38"/>
    <w:rsid w:val="00926BD4"/>
    <w:rsid w:val="00927C3F"/>
    <w:rsid w:val="00927C43"/>
    <w:rsid w:val="009300D8"/>
    <w:rsid w:val="0093059F"/>
    <w:rsid w:val="0093116A"/>
    <w:rsid w:val="00934189"/>
    <w:rsid w:val="009363FB"/>
    <w:rsid w:val="00936BE5"/>
    <w:rsid w:val="009370FB"/>
    <w:rsid w:val="00937374"/>
    <w:rsid w:val="00937778"/>
    <w:rsid w:val="00937835"/>
    <w:rsid w:val="00937A82"/>
    <w:rsid w:val="00937BB8"/>
    <w:rsid w:val="0094000A"/>
    <w:rsid w:val="00940915"/>
    <w:rsid w:val="009421DD"/>
    <w:rsid w:val="00943ACA"/>
    <w:rsid w:val="00943E32"/>
    <w:rsid w:val="00945A7B"/>
    <w:rsid w:val="00950B0C"/>
    <w:rsid w:val="00952CA6"/>
    <w:rsid w:val="00952D20"/>
    <w:rsid w:val="00953267"/>
    <w:rsid w:val="009538BF"/>
    <w:rsid w:val="00953E4C"/>
    <w:rsid w:val="00954151"/>
    <w:rsid w:val="00954682"/>
    <w:rsid w:val="00954C8C"/>
    <w:rsid w:val="00957CE4"/>
    <w:rsid w:val="00961675"/>
    <w:rsid w:val="00961B2C"/>
    <w:rsid w:val="00962376"/>
    <w:rsid w:val="00962840"/>
    <w:rsid w:val="0096317D"/>
    <w:rsid w:val="00966397"/>
    <w:rsid w:val="00967FFE"/>
    <w:rsid w:val="009708CB"/>
    <w:rsid w:val="00970CFB"/>
    <w:rsid w:val="00972947"/>
    <w:rsid w:val="00972E01"/>
    <w:rsid w:val="00975295"/>
    <w:rsid w:val="00976327"/>
    <w:rsid w:val="00976E4F"/>
    <w:rsid w:val="009771DD"/>
    <w:rsid w:val="00977E64"/>
    <w:rsid w:val="00981376"/>
    <w:rsid w:val="00982E40"/>
    <w:rsid w:val="0098302A"/>
    <w:rsid w:val="0098332E"/>
    <w:rsid w:val="00984070"/>
    <w:rsid w:val="009869F5"/>
    <w:rsid w:val="00991407"/>
    <w:rsid w:val="0099224D"/>
    <w:rsid w:val="00992FA8"/>
    <w:rsid w:val="00994549"/>
    <w:rsid w:val="009955E2"/>
    <w:rsid w:val="00997D2B"/>
    <w:rsid w:val="009A0602"/>
    <w:rsid w:val="009A0CA9"/>
    <w:rsid w:val="009A23EE"/>
    <w:rsid w:val="009A2FEA"/>
    <w:rsid w:val="009A46B2"/>
    <w:rsid w:val="009A4C0C"/>
    <w:rsid w:val="009A4C5B"/>
    <w:rsid w:val="009A5124"/>
    <w:rsid w:val="009A6104"/>
    <w:rsid w:val="009B000E"/>
    <w:rsid w:val="009B151A"/>
    <w:rsid w:val="009B2924"/>
    <w:rsid w:val="009B2D0F"/>
    <w:rsid w:val="009B2D2F"/>
    <w:rsid w:val="009B49C4"/>
    <w:rsid w:val="009B4E28"/>
    <w:rsid w:val="009B5387"/>
    <w:rsid w:val="009B72EA"/>
    <w:rsid w:val="009C0024"/>
    <w:rsid w:val="009C03C3"/>
    <w:rsid w:val="009C1487"/>
    <w:rsid w:val="009C160F"/>
    <w:rsid w:val="009C4449"/>
    <w:rsid w:val="009C4F5B"/>
    <w:rsid w:val="009C7D30"/>
    <w:rsid w:val="009D0BA9"/>
    <w:rsid w:val="009D14EE"/>
    <w:rsid w:val="009D200E"/>
    <w:rsid w:val="009D3066"/>
    <w:rsid w:val="009D3FBC"/>
    <w:rsid w:val="009D4227"/>
    <w:rsid w:val="009D46E5"/>
    <w:rsid w:val="009D4AAD"/>
    <w:rsid w:val="009D555C"/>
    <w:rsid w:val="009D62EA"/>
    <w:rsid w:val="009D67D9"/>
    <w:rsid w:val="009D7374"/>
    <w:rsid w:val="009D79AA"/>
    <w:rsid w:val="009D7B19"/>
    <w:rsid w:val="009E03B0"/>
    <w:rsid w:val="009E155D"/>
    <w:rsid w:val="009E1F47"/>
    <w:rsid w:val="009E24A0"/>
    <w:rsid w:val="009E36F2"/>
    <w:rsid w:val="009E429F"/>
    <w:rsid w:val="009E503E"/>
    <w:rsid w:val="009E5F7F"/>
    <w:rsid w:val="009F1979"/>
    <w:rsid w:val="009F1D30"/>
    <w:rsid w:val="009F3028"/>
    <w:rsid w:val="009F3A7B"/>
    <w:rsid w:val="009F3F0E"/>
    <w:rsid w:val="009F4442"/>
    <w:rsid w:val="009F4DBE"/>
    <w:rsid w:val="009F5A23"/>
    <w:rsid w:val="009F6F1D"/>
    <w:rsid w:val="009F76FA"/>
    <w:rsid w:val="009F7B81"/>
    <w:rsid w:val="009F7BC0"/>
    <w:rsid w:val="00A00B52"/>
    <w:rsid w:val="00A00DDA"/>
    <w:rsid w:val="00A00F3C"/>
    <w:rsid w:val="00A01A1D"/>
    <w:rsid w:val="00A02C99"/>
    <w:rsid w:val="00A043ED"/>
    <w:rsid w:val="00A04AEF"/>
    <w:rsid w:val="00A054C4"/>
    <w:rsid w:val="00A06BC6"/>
    <w:rsid w:val="00A06F77"/>
    <w:rsid w:val="00A0758F"/>
    <w:rsid w:val="00A07D56"/>
    <w:rsid w:val="00A1017C"/>
    <w:rsid w:val="00A10DFF"/>
    <w:rsid w:val="00A115AA"/>
    <w:rsid w:val="00A14F65"/>
    <w:rsid w:val="00A1532C"/>
    <w:rsid w:val="00A1656A"/>
    <w:rsid w:val="00A166AE"/>
    <w:rsid w:val="00A16F06"/>
    <w:rsid w:val="00A17AD4"/>
    <w:rsid w:val="00A203A3"/>
    <w:rsid w:val="00A2195C"/>
    <w:rsid w:val="00A2251E"/>
    <w:rsid w:val="00A2287E"/>
    <w:rsid w:val="00A24F9C"/>
    <w:rsid w:val="00A254D8"/>
    <w:rsid w:val="00A25ABB"/>
    <w:rsid w:val="00A27968"/>
    <w:rsid w:val="00A27C4F"/>
    <w:rsid w:val="00A27EF5"/>
    <w:rsid w:val="00A309EB"/>
    <w:rsid w:val="00A3254C"/>
    <w:rsid w:val="00A332E3"/>
    <w:rsid w:val="00A33B70"/>
    <w:rsid w:val="00A357F1"/>
    <w:rsid w:val="00A3759B"/>
    <w:rsid w:val="00A40A30"/>
    <w:rsid w:val="00A4230E"/>
    <w:rsid w:val="00A424E3"/>
    <w:rsid w:val="00A43112"/>
    <w:rsid w:val="00A4448C"/>
    <w:rsid w:val="00A45950"/>
    <w:rsid w:val="00A46A4E"/>
    <w:rsid w:val="00A477BD"/>
    <w:rsid w:val="00A5143B"/>
    <w:rsid w:val="00A520A8"/>
    <w:rsid w:val="00A5295A"/>
    <w:rsid w:val="00A5368C"/>
    <w:rsid w:val="00A53A1D"/>
    <w:rsid w:val="00A55619"/>
    <w:rsid w:val="00A568C6"/>
    <w:rsid w:val="00A56A10"/>
    <w:rsid w:val="00A56D79"/>
    <w:rsid w:val="00A57AC3"/>
    <w:rsid w:val="00A601CE"/>
    <w:rsid w:val="00A60406"/>
    <w:rsid w:val="00A607CD"/>
    <w:rsid w:val="00A62830"/>
    <w:rsid w:val="00A63B11"/>
    <w:rsid w:val="00A63CD5"/>
    <w:rsid w:val="00A65776"/>
    <w:rsid w:val="00A65A0A"/>
    <w:rsid w:val="00A66813"/>
    <w:rsid w:val="00A67DC9"/>
    <w:rsid w:val="00A71AE1"/>
    <w:rsid w:val="00A72378"/>
    <w:rsid w:val="00A72980"/>
    <w:rsid w:val="00A73D59"/>
    <w:rsid w:val="00A74E45"/>
    <w:rsid w:val="00A76F7D"/>
    <w:rsid w:val="00A77BE0"/>
    <w:rsid w:val="00A81697"/>
    <w:rsid w:val="00A817CE"/>
    <w:rsid w:val="00A82655"/>
    <w:rsid w:val="00A83D51"/>
    <w:rsid w:val="00A843CE"/>
    <w:rsid w:val="00A85396"/>
    <w:rsid w:val="00A8602E"/>
    <w:rsid w:val="00A901E1"/>
    <w:rsid w:val="00A91238"/>
    <w:rsid w:val="00A949BE"/>
    <w:rsid w:val="00A967A7"/>
    <w:rsid w:val="00A96FC6"/>
    <w:rsid w:val="00A97C1C"/>
    <w:rsid w:val="00AA0CEA"/>
    <w:rsid w:val="00AA1D78"/>
    <w:rsid w:val="00AA1F8D"/>
    <w:rsid w:val="00AA2192"/>
    <w:rsid w:val="00AA32CC"/>
    <w:rsid w:val="00AA3BB1"/>
    <w:rsid w:val="00AA3FF7"/>
    <w:rsid w:val="00AA4C85"/>
    <w:rsid w:val="00AA67FB"/>
    <w:rsid w:val="00AA6BD0"/>
    <w:rsid w:val="00AA6C24"/>
    <w:rsid w:val="00AA7901"/>
    <w:rsid w:val="00AB0488"/>
    <w:rsid w:val="00AB0C91"/>
    <w:rsid w:val="00AB3189"/>
    <w:rsid w:val="00AB32D6"/>
    <w:rsid w:val="00AB42E7"/>
    <w:rsid w:val="00AB4DE4"/>
    <w:rsid w:val="00AB6F86"/>
    <w:rsid w:val="00AB7E68"/>
    <w:rsid w:val="00AC018A"/>
    <w:rsid w:val="00AC107E"/>
    <w:rsid w:val="00AC1567"/>
    <w:rsid w:val="00AC1BEE"/>
    <w:rsid w:val="00AC2413"/>
    <w:rsid w:val="00AC2A1F"/>
    <w:rsid w:val="00AC30F7"/>
    <w:rsid w:val="00AC3900"/>
    <w:rsid w:val="00AC4621"/>
    <w:rsid w:val="00AC4ED5"/>
    <w:rsid w:val="00AC5828"/>
    <w:rsid w:val="00AC5D86"/>
    <w:rsid w:val="00AC6001"/>
    <w:rsid w:val="00AC67E3"/>
    <w:rsid w:val="00AC6A6D"/>
    <w:rsid w:val="00AC6F0A"/>
    <w:rsid w:val="00AD20D3"/>
    <w:rsid w:val="00AD290E"/>
    <w:rsid w:val="00AD2BD3"/>
    <w:rsid w:val="00AD6AA5"/>
    <w:rsid w:val="00AD7099"/>
    <w:rsid w:val="00AD7989"/>
    <w:rsid w:val="00AE20D0"/>
    <w:rsid w:val="00AE250A"/>
    <w:rsid w:val="00AE27CA"/>
    <w:rsid w:val="00AE2F34"/>
    <w:rsid w:val="00AE3376"/>
    <w:rsid w:val="00AE4154"/>
    <w:rsid w:val="00AE43B8"/>
    <w:rsid w:val="00AE4DC1"/>
    <w:rsid w:val="00AE52CE"/>
    <w:rsid w:val="00AE724E"/>
    <w:rsid w:val="00AE7CD8"/>
    <w:rsid w:val="00AE7D61"/>
    <w:rsid w:val="00AE7DBC"/>
    <w:rsid w:val="00AE7F79"/>
    <w:rsid w:val="00AF1DDA"/>
    <w:rsid w:val="00AF200C"/>
    <w:rsid w:val="00AF2E00"/>
    <w:rsid w:val="00AF38DD"/>
    <w:rsid w:val="00AF4CCD"/>
    <w:rsid w:val="00AF76A3"/>
    <w:rsid w:val="00B0033C"/>
    <w:rsid w:val="00B0045E"/>
    <w:rsid w:val="00B01853"/>
    <w:rsid w:val="00B02D7C"/>
    <w:rsid w:val="00B036C5"/>
    <w:rsid w:val="00B0465A"/>
    <w:rsid w:val="00B04C6D"/>
    <w:rsid w:val="00B05CB7"/>
    <w:rsid w:val="00B061D6"/>
    <w:rsid w:val="00B06E5F"/>
    <w:rsid w:val="00B07384"/>
    <w:rsid w:val="00B0745A"/>
    <w:rsid w:val="00B074DB"/>
    <w:rsid w:val="00B0770B"/>
    <w:rsid w:val="00B07979"/>
    <w:rsid w:val="00B1166D"/>
    <w:rsid w:val="00B1296C"/>
    <w:rsid w:val="00B12973"/>
    <w:rsid w:val="00B13DDC"/>
    <w:rsid w:val="00B1689B"/>
    <w:rsid w:val="00B16ED2"/>
    <w:rsid w:val="00B17329"/>
    <w:rsid w:val="00B178C3"/>
    <w:rsid w:val="00B25B3C"/>
    <w:rsid w:val="00B25CA3"/>
    <w:rsid w:val="00B26330"/>
    <w:rsid w:val="00B26F72"/>
    <w:rsid w:val="00B3077C"/>
    <w:rsid w:val="00B31795"/>
    <w:rsid w:val="00B31C71"/>
    <w:rsid w:val="00B3204F"/>
    <w:rsid w:val="00B32945"/>
    <w:rsid w:val="00B355C4"/>
    <w:rsid w:val="00B37B0B"/>
    <w:rsid w:val="00B4041F"/>
    <w:rsid w:val="00B41F63"/>
    <w:rsid w:val="00B42EA1"/>
    <w:rsid w:val="00B43B31"/>
    <w:rsid w:val="00B44DFD"/>
    <w:rsid w:val="00B46CF9"/>
    <w:rsid w:val="00B472E8"/>
    <w:rsid w:val="00B473BF"/>
    <w:rsid w:val="00B47EA7"/>
    <w:rsid w:val="00B511D3"/>
    <w:rsid w:val="00B51327"/>
    <w:rsid w:val="00B5523F"/>
    <w:rsid w:val="00B566D5"/>
    <w:rsid w:val="00B567AF"/>
    <w:rsid w:val="00B56DAF"/>
    <w:rsid w:val="00B57121"/>
    <w:rsid w:val="00B573CA"/>
    <w:rsid w:val="00B619E1"/>
    <w:rsid w:val="00B61A16"/>
    <w:rsid w:val="00B6234B"/>
    <w:rsid w:val="00B64373"/>
    <w:rsid w:val="00B6454A"/>
    <w:rsid w:val="00B65A44"/>
    <w:rsid w:val="00B66351"/>
    <w:rsid w:val="00B70665"/>
    <w:rsid w:val="00B71853"/>
    <w:rsid w:val="00B73DF0"/>
    <w:rsid w:val="00B77D4B"/>
    <w:rsid w:val="00B808DD"/>
    <w:rsid w:val="00B809EE"/>
    <w:rsid w:val="00B81A4F"/>
    <w:rsid w:val="00B849C1"/>
    <w:rsid w:val="00B868D3"/>
    <w:rsid w:val="00B87397"/>
    <w:rsid w:val="00B8784B"/>
    <w:rsid w:val="00B926D2"/>
    <w:rsid w:val="00B94654"/>
    <w:rsid w:val="00B94DFF"/>
    <w:rsid w:val="00B94E44"/>
    <w:rsid w:val="00B9527A"/>
    <w:rsid w:val="00B957C1"/>
    <w:rsid w:val="00BA03FE"/>
    <w:rsid w:val="00BA07FB"/>
    <w:rsid w:val="00BA192E"/>
    <w:rsid w:val="00BA3BA6"/>
    <w:rsid w:val="00BA3FD2"/>
    <w:rsid w:val="00BA58E6"/>
    <w:rsid w:val="00BA5DD1"/>
    <w:rsid w:val="00BA610F"/>
    <w:rsid w:val="00BA68F8"/>
    <w:rsid w:val="00BA6FC6"/>
    <w:rsid w:val="00BA709C"/>
    <w:rsid w:val="00BA72D9"/>
    <w:rsid w:val="00BB066D"/>
    <w:rsid w:val="00BB0817"/>
    <w:rsid w:val="00BB2A84"/>
    <w:rsid w:val="00BB712A"/>
    <w:rsid w:val="00BB7284"/>
    <w:rsid w:val="00BC03BD"/>
    <w:rsid w:val="00BC15BD"/>
    <w:rsid w:val="00BC35B4"/>
    <w:rsid w:val="00BC48CC"/>
    <w:rsid w:val="00BC4D70"/>
    <w:rsid w:val="00BC5EBD"/>
    <w:rsid w:val="00BC6657"/>
    <w:rsid w:val="00BC6998"/>
    <w:rsid w:val="00BD0665"/>
    <w:rsid w:val="00BD2287"/>
    <w:rsid w:val="00BD2B65"/>
    <w:rsid w:val="00BD2F01"/>
    <w:rsid w:val="00BD43E4"/>
    <w:rsid w:val="00BD46F8"/>
    <w:rsid w:val="00BD484F"/>
    <w:rsid w:val="00BD48E5"/>
    <w:rsid w:val="00BD5173"/>
    <w:rsid w:val="00BD689D"/>
    <w:rsid w:val="00BD6D01"/>
    <w:rsid w:val="00BE09F6"/>
    <w:rsid w:val="00BE1073"/>
    <w:rsid w:val="00BE148D"/>
    <w:rsid w:val="00BE2C60"/>
    <w:rsid w:val="00BE2EA9"/>
    <w:rsid w:val="00BE2FFE"/>
    <w:rsid w:val="00BE31A5"/>
    <w:rsid w:val="00BE33FD"/>
    <w:rsid w:val="00BE5287"/>
    <w:rsid w:val="00BE5C96"/>
    <w:rsid w:val="00BE5D75"/>
    <w:rsid w:val="00BE60AA"/>
    <w:rsid w:val="00BE6423"/>
    <w:rsid w:val="00BE6AA2"/>
    <w:rsid w:val="00BE6F86"/>
    <w:rsid w:val="00BE762A"/>
    <w:rsid w:val="00BE7DF3"/>
    <w:rsid w:val="00BF0154"/>
    <w:rsid w:val="00BF033F"/>
    <w:rsid w:val="00BF11A5"/>
    <w:rsid w:val="00BF1425"/>
    <w:rsid w:val="00BF2584"/>
    <w:rsid w:val="00BF277E"/>
    <w:rsid w:val="00BF690C"/>
    <w:rsid w:val="00BF6D8E"/>
    <w:rsid w:val="00C00113"/>
    <w:rsid w:val="00C016A2"/>
    <w:rsid w:val="00C020E2"/>
    <w:rsid w:val="00C06E40"/>
    <w:rsid w:val="00C1032A"/>
    <w:rsid w:val="00C11F49"/>
    <w:rsid w:val="00C1300C"/>
    <w:rsid w:val="00C1380D"/>
    <w:rsid w:val="00C15B55"/>
    <w:rsid w:val="00C16F4A"/>
    <w:rsid w:val="00C17C20"/>
    <w:rsid w:val="00C20C54"/>
    <w:rsid w:val="00C2254B"/>
    <w:rsid w:val="00C2278E"/>
    <w:rsid w:val="00C22837"/>
    <w:rsid w:val="00C22B2D"/>
    <w:rsid w:val="00C22C06"/>
    <w:rsid w:val="00C23B9A"/>
    <w:rsid w:val="00C2490B"/>
    <w:rsid w:val="00C249BE"/>
    <w:rsid w:val="00C24C0D"/>
    <w:rsid w:val="00C24C27"/>
    <w:rsid w:val="00C261AD"/>
    <w:rsid w:val="00C2724C"/>
    <w:rsid w:val="00C30CE5"/>
    <w:rsid w:val="00C31BBC"/>
    <w:rsid w:val="00C34379"/>
    <w:rsid w:val="00C3612C"/>
    <w:rsid w:val="00C3695C"/>
    <w:rsid w:val="00C36E04"/>
    <w:rsid w:val="00C37798"/>
    <w:rsid w:val="00C40397"/>
    <w:rsid w:val="00C419A0"/>
    <w:rsid w:val="00C41CD0"/>
    <w:rsid w:val="00C41E51"/>
    <w:rsid w:val="00C423FD"/>
    <w:rsid w:val="00C425F4"/>
    <w:rsid w:val="00C4267D"/>
    <w:rsid w:val="00C42E21"/>
    <w:rsid w:val="00C43A7A"/>
    <w:rsid w:val="00C43CDD"/>
    <w:rsid w:val="00C43DAD"/>
    <w:rsid w:val="00C44272"/>
    <w:rsid w:val="00C4429F"/>
    <w:rsid w:val="00C442B4"/>
    <w:rsid w:val="00C459FD"/>
    <w:rsid w:val="00C46647"/>
    <w:rsid w:val="00C47CFE"/>
    <w:rsid w:val="00C5018B"/>
    <w:rsid w:val="00C502DF"/>
    <w:rsid w:val="00C50F7F"/>
    <w:rsid w:val="00C51618"/>
    <w:rsid w:val="00C52227"/>
    <w:rsid w:val="00C522F4"/>
    <w:rsid w:val="00C52C21"/>
    <w:rsid w:val="00C52EB5"/>
    <w:rsid w:val="00C536C7"/>
    <w:rsid w:val="00C53ABE"/>
    <w:rsid w:val="00C53F59"/>
    <w:rsid w:val="00C5433E"/>
    <w:rsid w:val="00C55BAB"/>
    <w:rsid w:val="00C57025"/>
    <w:rsid w:val="00C578A6"/>
    <w:rsid w:val="00C6376F"/>
    <w:rsid w:val="00C64935"/>
    <w:rsid w:val="00C66664"/>
    <w:rsid w:val="00C66C7C"/>
    <w:rsid w:val="00C67AC7"/>
    <w:rsid w:val="00C70043"/>
    <w:rsid w:val="00C70C28"/>
    <w:rsid w:val="00C71FCD"/>
    <w:rsid w:val="00C73848"/>
    <w:rsid w:val="00C7483F"/>
    <w:rsid w:val="00C7527D"/>
    <w:rsid w:val="00C7671C"/>
    <w:rsid w:val="00C768B2"/>
    <w:rsid w:val="00C77620"/>
    <w:rsid w:val="00C77F89"/>
    <w:rsid w:val="00C803EE"/>
    <w:rsid w:val="00C8215D"/>
    <w:rsid w:val="00C846EA"/>
    <w:rsid w:val="00C86112"/>
    <w:rsid w:val="00C87E61"/>
    <w:rsid w:val="00C9144D"/>
    <w:rsid w:val="00C91DBC"/>
    <w:rsid w:val="00C928EB"/>
    <w:rsid w:val="00C9338E"/>
    <w:rsid w:val="00C934A7"/>
    <w:rsid w:val="00C93B9B"/>
    <w:rsid w:val="00C93D58"/>
    <w:rsid w:val="00C93DEF"/>
    <w:rsid w:val="00C9455C"/>
    <w:rsid w:val="00C94F4E"/>
    <w:rsid w:val="00C9501B"/>
    <w:rsid w:val="00CA1370"/>
    <w:rsid w:val="00CA182E"/>
    <w:rsid w:val="00CA3708"/>
    <w:rsid w:val="00CA3AC6"/>
    <w:rsid w:val="00CA4610"/>
    <w:rsid w:val="00CA5AE2"/>
    <w:rsid w:val="00CA646D"/>
    <w:rsid w:val="00CA690F"/>
    <w:rsid w:val="00CA6A39"/>
    <w:rsid w:val="00CA6D79"/>
    <w:rsid w:val="00CB1640"/>
    <w:rsid w:val="00CB1902"/>
    <w:rsid w:val="00CB2189"/>
    <w:rsid w:val="00CB2334"/>
    <w:rsid w:val="00CB2642"/>
    <w:rsid w:val="00CB62C4"/>
    <w:rsid w:val="00CC01ED"/>
    <w:rsid w:val="00CC0BEE"/>
    <w:rsid w:val="00CC2025"/>
    <w:rsid w:val="00CC3029"/>
    <w:rsid w:val="00CC395A"/>
    <w:rsid w:val="00CC3E61"/>
    <w:rsid w:val="00CC62EF"/>
    <w:rsid w:val="00CC7242"/>
    <w:rsid w:val="00CD080A"/>
    <w:rsid w:val="00CD0C3F"/>
    <w:rsid w:val="00CD176A"/>
    <w:rsid w:val="00CD1820"/>
    <w:rsid w:val="00CD1A10"/>
    <w:rsid w:val="00CD1F8A"/>
    <w:rsid w:val="00CD3955"/>
    <w:rsid w:val="00CD40E1"/>
    <w:rsid w:val="00CD420E"/>
    <w:rsid w:val="00CD4C80"/>
    <w:rsid w:val="00CD516A"/>
    <w:rsid w:val="00CD6186"/>
    <w:rsid w:val="00CD795B"/>
    <w:rsid w:val="00CE0839"/>
    <w:rsid w:val="00CE49C1"/>
    <w:rsid w:val="00CE5702"/>
    <w:rsid w:val="00CE5C54"/>
    <w:rsid w:val="00CE5F73"/>
    <w:rsid w:val="00CE6DA4"/>
    <w:rsid w:val="00CF27C4"/>
    <w:rsid w:val="00CF2DDA"/>
    <w:rsid w:val="00CF3128"/>
    <w:rsid w:val="00CF32CA"/>
    <w:rsid w:val="00CF3D8D"/>
    <w:rsid w:val="00CF3DBF"/>
    <w:rsid w:val="00CF6FFA"/>
    <w:rsid w:val="00CF79F8"/>
    <w:rsid w:val="00D01A16"/>
    <w:rsid w:val="00D01F5D"/>
    <w:rsid w:val="00D02839"/>
    <w:rsid w:val="00D0476A"/>
    <w:rsid w:val="00D0484B"/>
    <w:rsid w:val="00D053D0"/>
    <w:rsid w:val="00D05488"/>
    <w:rsid w:val="00D057DB"/>
    <w:rsid w:val="00D074CF"/>
    <w:rsid w:val="00D1288D"/>
    <w:rsid w:val="00D132FD"/>
    <w:rsid w:val="00D1380B"/>
    <w:rsid w:val="00D16B91"/>
    <w:rsid w:val="00D16CB6"/>
    <w:rsid w:val="00D1735F"/>
    <w:rsid w:val="00D17588"/>
    <w:rsid w:val="00D20C73"/>
    <w:rsid w:val="00D21218"/>
    <w:rsid w:val="00D23091"/>
    <w:rsid w:val="00D24B32"/>
    <w:rsid w:val="00D259CA"/>
    <w:rsid w:val="00D25D42"/>
    <w:rsid w:val="00D30C94"/>
    <w:rsid w:val="00D3193B"/>
    <w:rsid w:val="00D34786"/>
    <w:rsid w:val="00D40BC6"/>
    <w:rsid w:val="00D41139"/>
    <w:rsid w:val="00D4171F"/>
    <w:rsid w:val="00D41AAB"/>
    <w:rsid w:val="00D4222B"/>
    <w:rsid w:val="00D426D5"/>
    <w:rsid w:val="00D429C6"/>
    <w:rsid w:val="00D45018"/>
    <w:rsid w:val="00D452EB"/>
    <w:rsid w:val="00D45DFC"/>
    <w:rsid w:val="00D46359"/>
    <w:rsid w:val="00D46A03"/>
    <w:rsid w:val="00D46DF0"/>
    <w:rsid w:val="00D46F62"/>
    <w:rsid w:val="00D50770"/>
    <w:rsid w:val="00D50E11"/>
    <w:rsid w:val="00D50F2F"/>
    <w:rsid w:val="00D513BE"/>
    <w:rsid w:val="00D57A22"/>
    <w:rsid w:val="00D60B8F"/>
    <w:rsid w:val="00D6388D"/>
    <w:rsid w:val="00D640CC"/>
    <w:rsid w:val="00D65246"/>
    <w:rsid w:val="00D6526D"/>
    <w:rsid w:val="00D65948"/>
    <w:rsid w:val="00D65A9A"/>
    <w:rsid w:val="00D723CB"/>
    <w:rsid w:val="00D72793"/>
    <w:rsid w:val="00D752C4"/>
    <w:rsid w:val="00D76818"/>
    <w:rsid w:val="00D76A04"/>
    <w:rsid w:val="00D7787F"/>
    <w:rsid w:val="00D82FF5"/>
    <w:rsid w:val="00D83FC5"/>
    <w:rsid w:val="00D843E5"/>
    <w:rsid w:val="00D86C83"/>
    <w:rsid w:val="00D875C4"/>
    <w:rsid w:val="00D930B4"/>
    <w:rsid w:val="00D93157"/>
    <w:rsid w:val="00D931C4"/>
    <w:rsid w:val="00D93858"/>
    <w:rsid w:val="00D93EC8"/>
    <w:rsid w:val="00D94F80"/>
    <w:rsid w:val="00D95031"/>
    <w:rsid w:val="00D95CB5"/>
    <w:rsid w:val="00DA024B"/>
    <w:rsid w:val="00DA36D3"/>
    <w:rsid w:val="00DA3A24"/>
    <w:rsid w:val="00DA3A8E"/>
    <w:rsid w:val="00DA3DF7"/>
    <w:rsid w:val="00DA3F05"/>
    <w:rsid w:val="00DA4575"/>
    <w:rsid w:val="00DA6B36"/>
    <w:rsid w:val="00DB023E"/>
    <w:rsid w:val="00DB0341"/>
    <w:rsid w:val="00DB3765"/>
    <w:rsid w:val="00DB3818"/>
    <w:rsid w:val="00DC0A18"/>
    <w:rsid w:val="00DC127E"/>
    <w:rsid w:val="00DC13A1"/>
    <w:rsid w:val="00DC1F27"/>
    <w:rsid w:val="00DC250D"/>
    <w:rsid w:val="00DC4E45"/>
    <w:rsid w:val="00DC5AC9"/>
    <w:rsid w:val="00DC6D7B"/>
    <w:rsid w:val="00DC7850"/>
    <w:rsid w:val="00DD0C2A"/>
    <w:rsid w:val="00DD1B60"/>
    <w:rsid w:val="00DD360B"/>
    <w:rsid w:val="00DD3702"/>
    <w:rsid w:val="00DD3C7B"/>
    <w:rsid w:val="00DD45C4"/>
    <w:rsid w:val="00DD4A3E"/>
    <w:rsid w:val="00DD72FB"/>
    <w:rsid w:val="00DD7870"/>
    <w:rsid w:val="00DD7EC3"/>
    <w:rsid w:val="00DE109D"/>
    <w:rsid w:val="00DE46A7"/>
    <w:rsid w:val="00DE48C1"/>
    <w:rsid w:val="00DE592C"/>
    <w:rsid w:val="00DE6E30"/>
    <w:rsid w:val="00DF0035"/>
    <w:rsid w:val="00DF29BB"/>
    <w:rsid w:val="00DF3BFD"/>
    <w:rsid w:val="00DF4341"/>
    <w:rsid w:val="00DF4BEC"/>
    <w:rsid w:val="00DF5B21"/>
    <w:rsid w:val="00DF7042"/>
    <w:rsid w:val="00E006ED"/>
    <w:rsid w:val="00E007FF"/>
    <w:rsid w:val="00E041A3"/>
    <w:rsid w:val="00E045FC"/>
    <w:rsid w:val="00E04C13"/>
    <w:rsid w:val="00E05B86"/>
    <w:rsid w:val="00E05F14"/>
    <w:rsid w:val="00E1123A"/>
    <w:rsid w:val="00E13580"/>
    <w:rsid w:val="00E13C26"/>
    <w:rsid w:val="00E1732F"/>
    <w:rsid w:val="00E17D74"/>
    <w:rsid w:val="00E206F9"/>
    <w:rsid w:val="00E20B1E"/>
    <w:rsid w:val="00E20D62"/>
    <w:rsid w:val="00E2202A"/>
    <w:rsid w:val="00E22423"/>
    <w:rsid w:val="00E22A63"/>
    <w:rsid w:val="00E268AF"/>
    <w:rsid w:val="00E26CA6"/>
    <w:rsid w:val="00E26CD5"/>
    <w:rsid w:val="00E27357"/>
    <w:rsid w:val="00E276EA"/>
    <w:rsid w:val="00E27DF0"/>
    <w:rsid w:val="00E3050C"/>
    <w:rsid w:val="00E30D19"/>
    <w:rsid w:val="00E31143"/>
    <w:rsid w:val="00E31260"/>
    <w:rsid w:val="00E314F0"/>
    <w:rsid w:val="00E32F12"/>
    <w:rsid w:val="00E3414E"/>
    <w:rsid w:val="00E34344"/>
    <w:rsid w:val="00E34644"/>
    <w:rsid w:val="00E35076"/>
    <w:rsid w:val="00E36C3B"/>
    <w:rsid w:val="00E375C5"/>
    <w:rsid w:val="00E4001E"/>
    <w:rsid w:val="00E40216"/>
    <w:rsid w:val="00E42442"/>
    <w:rsid w:val="00E42818"/>
    <w:rsid w:val="00E43B4F"/>
    <w:rsid w:val="00E45391"/>
    <w:rsid w:val="00E4589A"/>
    <w:rsid w:val="00E46B72"/>
    <w:rsid w:val="00E4715D"/>
    <w:rsid w:val="00E52DAD"/>
    <w:rsid w:val="00E55FE1"/>
    <w:rsid w:val="00E6013B"/>
    <w:rsid w:val="00E6196D"/>
    <w:rsid w:val="00E624A9"/>
    <w:rsid w:val="00E6297C"/>
    <w:rsid w:val="00E62A0F"/>
    <w:rsid w:val="00E65C98"/>
    <w:rsid w:val="00E67789"/>
    <w:rsid w:val="00E73BF4"/>
    <w:rsid w:val="00E745F7"/>
    <w:rsid w:val="00E74A1F"/>
    <w:rsid w:val="00E756A1"/>
    <w:rsid w:val="00E75DE8"/>
    <w:rsid w:val="00E7687A"/>
    <w:rsid w:val="00E76A93"/>
    <w:rsid w:val="00E8228F"/>
    <w:rsid w:val="00E82891"/>
    <w:rsid w:val="00E84C2E"/>
    <w:rsid w:val="00E85609"/>
    <w:rsid w:val="00E856CC"/>
    <w:rsid w:val="00E86E5D"/>
    <w:rsid w:val="00E86F63"/>
    <w:rsid w:val="00E87167"/>
    <w:rsid w:val="00E87601"/>
    <w:rsid w:val="00E908AD"/>
    <w:rsid w:val="00E90BE9"/>
    <w:rsid w:val="00E9219D"/>
    <w:rsid w:val="00E92ED1"/>
    <w:rsid w:val="00E93D06"/>
    <w:rsid w:val="00E9645B"/>
    <w:rsid w:val="00E97F9E"/>
    <w:rsid w:val="00EA0A2A"/>
    <w:rsid w:val="00EA3316"/>
    <w:rsid w:val="00EA40B6"/>
    <w:rsid w:val="00EA4BFC"/>
    <w:rsid w:val="00EA5127"/>
    <w:rsid w:val="00EA639B"/>
    <w:rsid w:val="00EA6EBF"/>
    <w:rsid w:val="00EB0C23"/>
    <w:rsid w:val="00EB2FF5"/>
    <w:rsid w:val="00EB319F"/>
    <w:rsid w:val="00EB3935"/>
    <w:rsid w:val="00EB4838"/>
    <w:rsid w:val="00EB561B"/>
    <w:rsid w:val="00EB6C23"/>
    <w:rsid w:val="00EB7E7A"/>
    <w:rsid w:val="00EC02B1"/>
    <w:rsid w:val="00EC07DA"/>
    <w:rsid w:val="00EC1A2F"/>
    <w:rsid w:val="00EC20A7"/>
    <w:rsid w:val="00EC213D"/>
    <w:rsid w:val="00EC3944"/>
    <w:rsid w:val="00EC503E"/>
    <w:rsid w:val="00EC51C1"/>
    <w:rsid w:val="00EC7AFF"/>
    <w:rsid w:val="00ED060B"/>
    <w:rsid w:val="00ED21BC"/>
    <w:rsid w:val="00ED3AFE"/>
    <w:rsid w:val="00ED3C82"/>
    <w:rsid w:val="00ED3FE8"/>
    <w:rsid w:val="00ED4931"/>
    <w:rsid w:val="00ED53C9"/>
    <w:rsid w:val="00ED5968"/>
    <w:rsid w:val="00ED7081"/>
    <w:rsid w:val="00ED7F84"/>
    <w:rsid w:val="00EE015F"/>
    <w:rsid w:val="00EE06A9"/>
    <w:rsid w:val="00EE13F9"/>
    <w:rsid w:val="00EE2ECC"/>
    <w:rsid w:val="00EE3258"/>
    <w:rsid w:val="00EE348B"/>
    <w:rsid w:val="00EE5794"/>
    <w:rsid w:val="00EE5A29"/>
    <w:rsid w:val="00EE712A"/>
    <w:rsid w:val="00EE76C5"/>
    <w:rsid w:val="00EF00A7"/>
    <w:rsid w:val="00EF1821"/>
    <w:rsid w:val="00EF22FE"/>
    <w:rsid w:val="00EF2349"/>
    <w:rsid w:val="00EF2C8C"/>
    <w:rsid w:val="00EF308F"/>
    <w:rsid w:val="00EF3F0B"/>
    <w:rsid w:val="00EF40BE"/>
    <w:rsid w:val="00EF59E7"/>
    <w:rsid w:val="00EF5C13"/>
    <w:rsid w:val="00EF612D"/>
    <w:rsid w:val="00EF6A8F"/>
    <w:rsid w:val="00F0207B"/>
    <w:rsid w:val="00F0491E"/>
    <w:rsid w:val="00F04C73"/>
    <w:rsid w:val="00F0526A"/>
    <w:rsid w:val="00F0562F"/>
    <w:rsid w:val="00F05AE4"/>
    <w:rsid w:val="00F0606E"/>
    <w:rsid w:val="00F11818"/>
    <w:rsid w:val="00F14AC0"/>
    <w:rsid w:val="00F14E2B"/>
    <w:rsid w:val="00F15EA2"/>
    <w:rsid w:val="00F16B54"/>
    <w:rsid w:val="00F1717E"/>
    <w:rsid w:val="00F175C4"/>
    <w:rsid w:val="00F17F2D"/>
    <w:rsid w:val="00F211BA"/>
    <w:rsid w:val="00F2280A"/>
    <w:rsid w:val="00F23B45"/>
    <w:rsid w:val="00F2523B"/>
    <w:rsid w:val="00F258F9"/>
    <w:rsid w:val="00F30F2B"/>
    <w:rsid w:val="00F30FFC"/>
    <w:rsid w:val="00F31713"/>
    <w:rsid w:val="00F339B2"/>
    <w:rsid w:val="00F36848"/>
    <w:rsid w:val="00F410B7"/>
    <w:rsid w:val="00F42209"/>
    <w:rsid w:val="00F44A70"/>
    <w:rsid w:val="00F4545E"/>
    <w:rsid w:val="00F4616F"/>
    <w:rsid w:val="00F46AFB"/>
    <w:rsid w:val="00F519F5"/>
    <w:rsid w:val="00F52305"/>
    <w:rsid w:val="00F5284B"/>
    <w:rsid w:val="00F53941"/>
    <w:rsid w:val="00F53F05"/>
    <w:rsid w:val="00F54E97"/>
    <w:rsid w:val="00F550CA"/>
    <w:rsid w:val="00F56D7F"/>
    <w:rsid w:val="00F60499"/>
    <w:rsid w:val="00F60F30"/>
    <w:rsid w:val="00F62BF4"/>
    <w:rsid w:val="00F63C3B"/>
    <w:rsid w:val="00F63EA4"/>
    <w:rsid w:val="00F65674"/>
    <w:rsid w:val="00F67654"/>
    <w:rsid w:val="00F6771B"/>
    <w:rsid w:val="00F7061B"/>
    <w:rsid w:val="00F73CF7"/>
    <w:rsid w:val="00F74E6E"/>
    <w:rsid w:val="00F759F0"/>
    <w:rsid w:val="00F7636A"/>
    <w:rsid w:val="00F77110"/>
    <w:rsid w:val="00F7792A"/>
    <w:rsid w:val="00F8066C"/>
    <w:rsid w:val="00F80821"/>
    <w:rsid w:val="00F81C12"/>
    <w:rsid w:val="00F849BE"/>
    <w:rsid w:val="00F85F71"/>
    <w:rsid w:val="00F87E6A"/>
    <w:rsid w:val="00F90D06"/>
    <w:rsid w:val="00F90F82"/>
    <w:rsid w:val="00F9263E"/>
    <w:rsid w:val="00F92D3F"/>
    <w:rsid w:val="00F92EDC"/>
    <w:rsid w:val="00F94465"/>
    <w:rsid w:val="00F95726"/>
    <w:rsid w:val="00F965E9"/>
    <w:rsid w:val="00F9736A"/>
    <w:rsid w:val="00F979FD"/>
    <w:rsid w:val="00FA136D"/>
    <w:rsid w:val="00FA2461"/>
    <w:rsid w:val="00FA280E"/>
    <w:rsid w:val="00FA3877"/>
    <w:rsid w:val="00FA3DAA"/>
    <w:rsid w:val="00FA4DBC"/>
    <w:rsid w:val="00FA595E"/>
    <w:rsid w:val="00FA7C89"/>
    <w:rsid w:val="00FB0A84"/>
    <w:rsid w:val="00FB1EB9"/>
    <w:rsid w:val="00FB3469"/>
    <w:rsid w:val="00FB3821"/>
    <w:rsid w:val="00FB4E33"/>
    <w:rsid w:val="00FB5557"/>
    <w:rsid w:val="00FB59D6"/>
    <w:rsid w:val="00FB5BEA"/>
    <w:rsid w:val="00FB5D1D"/>
    <w:rsid w:val="00FB6E6A"/>
    <w:rsid w:val="00FB7E31"/>
    <w:rsid w:val="00FC21C3"/>
    <w:rsid w:val="00FC282A"/>
    <w:rsid w:val="00FC2F5A"/>
    <w:rsid w:val="00FC3C06"/>
    <w:rsid w:val="00FC5093"/>
    <w:rsid w:val="00FC662D"/>
    <w:rsid w:val="00FC69C6"/>
    <w:rsid w:val="00FC7317"/>
    <w:rsid w:val="00FC75E3"/>
    <w:rsid w:val="00FD0078"/>
    <w:rsid w:val="00FD108D"/>
    <w:rsid w:val="00FD1B76"/>
    <w:rsid w:val="00FD3690"/>
    <w:rsid w:val="00FD4C6B"/>
    <w:rsid w:val="00FD4EB1"/>
    <w:rsid w:val="00FD5902"/>
    <w:rsid w:val="00FE05FB"/>
    <w:rsid w:val="00FE0F14"/>
    <w:rsid w:val="00FE10A9"/>
    <w:rsid w:val="00FE2DBA"/>
    <w:rsid w:val="00FE3A9D"/>
    <w:rsid w:val="00FE58B6"/>
    <w:rsid w:val="00FE70D0"/>
    <w:rsid w:val="00FE7235"/>
    <w:rsid w:val="00FE760C"/>
    <w:rsid w:val="00FF0531"/>
    <w:rsid w:val="00FF1C06"/>
    <w:rsid w:val="00FF1DE8"/>
    <w:rsid w:val="00FF1FF9"/>
    <w:rsid w:val="00FF2BE0"/>
    <w:rsid w:val="00FF3019"/>
    <w:rsid w:val="00FF458E"/>
    <w:rsid w:val="00FF578C"/>
    <w:rsid w:val="00FF7282"/>
    <w:rsid w:val="4A7389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09FD6EC9"/>
  <w15:docId w15:val="{1D0D40BE-D21A-4439-9AAB-D6360E99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1B"/>
    <w:pPr>
      <w:spacing w:after="120" w:line="240" w:lineRule="atLeast"/>
    </w:pPr>
    <w:rPr>
      <w:rFonts w:ascii="Arial" w:hAnsi="Arial"/>
      <w:color w:val="404040" w:themeColor="text1" w:themeTint="BF"/>
      <w:sz w:val="20"/>
    </w:rPr>
  </w:style>
  <w:style w:type="paragraph" w:styleId="Overskrift1">
    <w:name w:val="heading 1"/>
    <w:basedOn w:val="Normal"/>
    <w:next w:val="Normal"/>
    <w:link w:val="Overskrift1Tegn"/>
    <w:uiPriority w:val="1"/>
    <w:qFormat/>
    <w:rsid w:val="00102F11"/>
    <w:pPr>
      <w:keepNext/>
      <w:keepLines/>
      <w:spacing w:after="240" w:line="720" w:lineRule="atLeast"/>
      <w:contextualSpacing/>
      <w:outlineLvl w:val="0"/>
    </w:pPr>
    <w:rPr>
      <w:rFonts w:eastAsiaTheme="majorEastAsia" w:cstheme="majorBidi"/>
      <w:b/>
      <w:sz w:val="60"/>
      <w:szCs w:val="32"/>
    </w:rPr>
  </w:style>
  <w:style w:type="paragraph" w:styleId="Overskrift2">
    <w:name w:val="heading 2"/>
    <w:basedOn w:val="Overskrift1"/>
    <w:next w:val="Normal"/>
    <w:link w:val="Overskrift2Tegn"/>
    <w:uiPriority w:val="1"/>
    <w:unhideWhenUsed/>
    <w:qFormat/>
    <w:rsid w:val="00FA4DBC"/>
    <w:pPr>
      <w:spacing w:before="400" w:after="180" w:line="260" w:lineRule="atLeast"/>
      <w:outlineLvl w:val="1"/>
    </w:pPr>
    <w:rPr>
      <w:rFonts w:eastAsia="Times New Roman"/>
      <w:sz w:val="30"/>
      <w:szCs w:val="30"/>
    </w:rPr>
  </w:style>
  <w:style w:type="paragraph" w:styleId="Overskrift3">
    <w:name w:val="heading 3"/>
    <w:basedOn w:val="Overskrift2"/>
    <w:next w:val="Normal"/>
    <w:link w:val="Overskrift3Tegn"/>
    <w:uiPriority w:val="1"/>
    <w:unhideWhenUsed/>
    <w:qFormat/>
    <w:rsid w:val="00FA4DBC"/>
    <w:pPr>
      <w:spacing w:before="240" w:after="60"/>
      <w:outlineLvl w:val="2"/>
    </w:pPr>
    <w:rPr>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02F11"/>
    <w:rPr>
      <w:rFonts w:ascii="Arial" w:eastAsiaTheme="majorEastAsia" w:hAnsi="Arial" w:cstheme="majorBidi"/>
      <w:b/>
      <w:color w:val="404040" w:themeColor="text1" w:themeTint="BF"/>
      <w:sz w:val="60"/>
      <w:szCs w:val="32"/>
    </w:rPr>
  </w:style>
  <w:style w:type="character" w:customStyle="1" w:styleId="Overskrift2Tegn">
    <w:name w:val="Overskrift 2 Tegn"/>
    <w:basedOn w:val="Standardskrifttypeiafsnit"/>
    <w:link w:val="Overskrift2"/>
    <w:uiPriority w:val="1"/>
    <w:rsid w:val="00FA4DBC"/>
    <w:rPr>
      <w:rFonts w:ascii="Arial" w:eastAsia="Times New Roman" w:hAnsi="Arial" w:cstheme="majorBidi"/>
      <w:b/>
      <w:color w:val="404040" w:themeColor="text1" w:themeTint="BF"/>
      <w:sz w:val="30"/>
      <w:szCs w:val="30"/>
    </w:rPr>
  </w:style>
  <w:style w:type="character" w:customStyle="1" w:styleId="Overskrift3Tegn">
    <w:name w:val="Overskrift 3 Tegn"/>
    <w:basedOn w:val="Standardskrifttypeiafsnit"/>
    <w:link w:val="Overskrift3"/>
    <w:uiPriority w:val="1"/>
    <w:rsid w:val="00FA4DBC"/>
    <w:rPr>
      <w:rFonts w:ascii="Arial" w:eastAsia="Times New Roman" w:hAnsi="Arial" w:cstheme="majorBidi"/>
      <w:b/>
      <w:color w:val="404040" w:themeColor="text1" w:themeTint="BF"/>
      <w:szCs w:val="24"/>
    </w:rPr>
  </w:style>
  <w:style w:type="paragraph" w:styleId="Listeafsnit">
    <w:name w:val="List Paragraph"/>
    <w:basedOn w:val="Opstilling-punkttegn"/>
    <w:next w:val="Opstilling-punkttegn"/>
    <w:link w:val="ListeafsnitTegn"/>
    <w:uiPriority w:val="34"/>
    <w:qFormat/>
    <w:rsid w:val="000C1195"/>
    <w:pPr>
      <w:numPr>
        <w:numId w:val="1"/>
      </w:numPr>
      <w:spacing w:after="260"/>
      <w:ind w:left="170" w:hanging="170"/>
    </w:pPr>
    <w:rPr>
      <w:color w:val="FFFFFF" w:themeColor="background1"/>
    </w:rPr>
  </w:style>
  <w:style w:type="paragraph" w:styleId="Opstilling-punkttegn">
    <w:name w:val="List Bullet"/>
    <w:aliases w:val="Punktopstilling margen"/>
    <w:basedOn w:val="Normal"/>
    <w:link w:val="Opstilling-punkttegnTegn"/>
    <w:autoRedefine/>
    <w:uiPriority w:val="99"/>
    <w:unhideWhenUsed/>
    <w:rsid w:val="00345589"/>
    <w:pPr>
      <w:numPr>
        <w:numId w:val="2"/>
      </w:numPr>
      <w:ind w:left="170" w:hanging="170"/>
      <w:contextualSpacing/>
    </w:pPr>
    <w:rPr>
      <w:color w:val="409CDA"/>
    </w:rPr>
  </w:style>
  <w:style w:type="paragraph" w:customStyle="1" w:styleId="Fakta">
    <w:name w:val="Fakta"/>
    <w:rsid w:val="00264156"/>
    <w:pPr>
      <w:framePr w:vSpace="284" w:wrap="around" w:vAnchor="text" w:hAnchor="text" w:y="1"/>
      <w:shd w:val="clear" w:color="auto" w:fill="409CDA"/>
      <w:contextualSpacing/>
    </w:pPr>
    <w:rPr>
      <w:rFonts w:ascii="Arial" w:hAnsi="Arial"/>
      <w:color w:val="FFFFFF" w:themeColor="background1"/>
      <w:sz w:val="20"/>
    </w:rPr>
  </w:style>
  <w:style w:type="paragraph" w:customStyle="1" w:styleId="Billedtekst-afsnit">
    <w:name w:val="Billedtekst-afsnit"/>
    <w:basedOn w:val="Normal"/>
    <w:uiPriority w:val="1"/>
    <w:qFormat/>
    <w:rsid w:val="00897878"/>
    <w:pPr>
      <w:spacing w:before="60"/>
    </w:pPr>
    <w:rPr>
      <w:i/>
      <w:sz w:val="16"/>
    </w:rPr>
  </w:style>
  <w:style w:type="paragraph" w:styleId="Sidehoved">
    <w:name w:val="header"/>
    <w:basedOn w:val="Normal"/>
    <w:link w:val="SidehovedTegn"/>
    <w:uiPriority w:val="99"/>
    <w:unhideWhenUsed/>
    <w:rsid w:val="003E30B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30B6"/>
    <w:rPr>
      <w:rFonts w:ascii="Arial" w:hAnsi="Arial"/>
      <w:sz w:val="20"/>
    </w:rPr>
  </w:style>
  <w:style w:type="paragraph" w:styleId="Sidefod">
    <w:name w:val="footer"/>
    <w:basedOn w:val="Normal"/>
    <w:link w:val="SidefodTegn"/>
    <w:uiPriority w:val="99"/>
    <w:unhideWhenUsed/>
    <w:rsid w:val="003E30B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30B6"/>
    <w:rPr>
      <w:rFonts w:ascii="Arial" w:hAnsi="Arial"/>
      <w:sz w:val="20"/>
    </w:rPr>
  </w:style>
  <w:style w:type="paragraph" w:customStyle="1" w:styleId="Sidefod-format">
    <w:name w:val="Sidefod-format"/>
    <w:basedOn w:val="Normal"/>
    <w:rsid w:val="003E30B6"/>
    <w:rPr>
      <w:smallCaps/>
      <w:sz w:val="14"/>
    </w:rPr>
  </w:style>
  <w:style w:type="paragraph" w:styleId="Markeringsbobletekst">
    <w:name w:val="Balloon Text"/>
    <w:basedOn w:val="Normal"/>
    <w:link w:val="MarkeringsbobletekstTegn"/>
    <w:uiPriority w:val="99"/>
    <w:semiHidden/>
    <w:unhideWhenUsed/>
    <w:rsid w:val="007D7A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AAD"/>
    <w:rPr>
      <w:rFonts w:ascii="Segoe UI" w:hAnsi="Segoe UI" w:cs="Segoe UI"/>
      <w:sz w:val="18"/>
      <w:szCs w:val="18"/>
    </w:rPr>
  </w:style>
  <w:style w:type="paragraph" w:customStyle="1" w:styleId="Default">
    <w:name w:val="Default"/>
    <w:rsid w:val="001C2A1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39"/>
    <w:rsid w:val="001C2A1E"/>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rsid w:val="00D25D42"/>
    <w:pPr>
      <w:spacing w:before="240" w:after="0" w:line="259" w:lineRule="auto"/>
      <w:contextualSpacing w:val="0"/>
      <w:outlineLvl w:val="9"/>
    </w:pPr>
    <w:rPr>
      <w:rFonts w:asciiTheme="majorHAnsi" w:hAnsiTheme="majorHAnsi"/>
      <w:b w:val="0"/>
      <w:color w:val="46761F" w:themeColor="accent1" w:themeShade="BF"/>
      <w:sz w:val="32"/>
      <w:lang w:eastAsia="da-DK"/>
    </w:rPr>
  </w:style>
  <w:style w:type="paragraph" w:styleId="Indholdsfortegnelse1">
    <w:name w:val="toc 1"/>
    <w:basedOn w:val="Normal"/>
    <w:next w:val="Normal"/>
    <w:autoRedefine/>
    <w:uiPriority w:val="39"/>
    <w:unhideWhenUsed/>
    <w:rsid w:val="00E97F9E"/>
    <w:pPr>
      <w:tabs>
        <w:tab w:val="right" w:leader="dot" w:pos="6804"/>
      </w:tabs>
      <w:spacing w:after="100"/>
      <w:jc w:val="right"/>
    </w:pPr>
    <w:rPr>
      <w:b/>
      <w:noProof/>
      <w:shd w:val="clear" w:color="auto" w:fill="FFFFFF" w:themeFill="background1"/>
    </w:rPr>
  </w:style>
  <w:style w:type="paragraph" w:styleId="Indholdsfortegnelse2">
    <w:name w:val="toc 2"/>
    <w:basedOn w:val="Normal"/>
    <w:next w:val="Normal"/>
    <w:autoRedefine/>
    <w:uiPriority w:val="39"/>
    <w:unhideWhenUsed/>
    <w:rsid w:val="00E97F9E"/>
    <w:pPr>
      <w:tabs>
        <w:tab w:val="right" w:leader="dot" w:pos="6804"/>
      </w:tabs>
      <w:spacing w:after="100"/>
      <w:ind w:left="200"/>
      <w:jc w:val="right"/>
    </w:pPr>
    <w:rPr>
      <w:rFonts w:eastAsia="Times New Roman" w:cs="Times New Roman"/>
      <w:b/>
      <w:noProof/>
    </w:rPr>
  </w:style>
  <w:style w:type="character" w:styleId="Hyperlink">
    <w:name w:val="Hyperlink"/>
    <w:basedOn w:val="Standardskrifttypeiafsnit"/>
    <w:uiPriority w:val="99"/>
    <w:unhideWhenUsed/>
    <w:rsid w:val="00D25D42"/>
    <w:rPr>
      <w:color w:val="0563C1" w:themeColor="hyperlink"/>
      <w:u w:val="single"/>
    </w:rPr>
  </w:style>
  <w:style w:type="paragraph" w:styleId="NormalWeb">
    <w:name w:val="Normal (Web)"/>
    <w:basedOn w:val="Normal"/>
    <w:uiPriority w:val="99"/>
    <w:unhideWhenUsed/>
    <w:rsid w:val="0056455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75735B"/>
    <w:rPr>
      <w:color w:val="954F72" w:themeColor="followedHyperlink"/>
      <w:u w:val="single"/>
    </w:rPr>
  </w:style>
  <w:style w:type="character" w:styleId="Kommentarhenvisning">
    <w:name w:val="annotation reference"/>
    <w:basedOn w:val="Standardskrifttypeiafsnit"/>
    <w:uiPriority w:val="99"/>
    <w:semiHidden/>
    <w:unhideWhenUsed/>
    <w:rsid w:val="00C522F4"/>
    <w:rPr>
      <w:sz w:val="16"/>
      <w:szCs w:val="16"/>
    </w:rPr>
  </w:style>
  <w:style w:type="paragraph" w:styleId="Kommentartekst">
    <w:name w:val="annotation text"/>
    <w:basedOn w:val="Normal"/>
    <w:link w:val="KommentartekstTegn"/>
    <w:uiPriority w:val="99"/>
    <w:semiHidden/>
    <w:unhideWhenUsed/>
    <w:rsid w:val="00C522F4"/>
    <w:pPr>
      <w:spacing w:line="240" w:lineRule="auto"/>
    </w:pPr>
    <w:rPr>
      <w:szCs w:val="20"/>
    </w:rPr>
  </w:style>
  <w:style w:type="character" w:customStyle="1" w:styleId="KommentartekstTegn">
    <w:name w:val="Kommentartekst Tegn"/>
    <w:basedOn w:val="Standardskrifttypeiafsnit"/>
    <w:link w:val="Kommentartekst"/>
    <w:uiPriority w:val="99"/>
    <w:semiHidden/>
    <w:rsid w:val="00C522F4"/>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C522F4"/>
    <w:rPr>
      <w:b/>
      <w:bCs/>
    </w:rPr>
  </w:style>
  <w:style w:type="character" w:customStyle="1" w:styleId="KommentaremneTegn">
    <w:name w:val="Kommentaremne Tegn"/>
    <w:basedOn w:val="KommentartekstTegn"/>
    <w:link w:val="Kommentaremne"/>
    <w:uiPriority w:val="99"/>
    <w:semiHidden/>
    <w:rsid w:val="00C522F4"/>
    <w:rPr>
      <w:rFonts w:ascii="Arial" w:hAnsi="Arial"/>
      <w:b/>
      <w:bCs/>
      <w:sz w:val="20"/>
      <w:szCs w:val="20"/>
    </w:rPr>
  </w:style>
  <w:style w:type="paragraph" w:styleId="Undertitel">
    <w:name w:val="Subtitle"/>
    <w:basedOn w:val="Normal"/>
    <w:next w:val="Normal"/>
    <w:link w:val="UndertitelTegn"/>
    <w:uiPriority w:val="11"/>
    <w:rsid w:val="008D71D1"/>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8D71D1"/>
    <w:rPr>
      <w:rFonts w:eastAsiaTheme="minorEastAsia"/>
      <w:color w:val="5A5A5A" w:themeColor="text1" w:themeTint="A5"/>
      <w:spacing w:val="15"/>
    </w:rPr>
  </w:style>
  <w:style w:type="paragraph" w:customStyle="1" w:styleId="Billede">
    <w:name w:val="Billede"/>
    <w:basedOn w:val="Normal"/>
    <w:uiPriority w:val="1"/>
    <w:rsid w:val="008D71D1"/>
    <w:pPr>
      <w:spacing w:before="240" w:after="240" w:line="240" w:lineRule="auto"/>
    </w:pPr>
  </w:style>
  <w:style w:type="paragraph" w:styleId="Billedtekst">
    <w:name w:val="caption"/>
    <w:basedOn w:val="Normal"/>
    <w:next w:val="Normal"/>
    <w:uiPriority w:val="35"/>
    <w:unhideWhenUsed/>
    <w:rsid w:val="00117299"/>
    <w:pPr>
      <w:spacing w:after="200" w:line="240" w:lineRule="auto"/>
    </w:pPr>
    <w:rPr>
      <w:i/>
      <w:iCs/>
      <w:color w:val="44546A" w:themeColor="text2"/>
      <w:sz w:val="18"/>
      <w:szCs w:val="18"/>
    </w:rPr>
  </w:style>
  <w:style w:type="paragraph" w:customStyle="1" w:styleId="Punktopstillingspalte">
    <w:name w:val="Punktopstilling spalte"/>
    <w:basedOn w:val="Normal"/>
    <w:uiPriority w:val="2"/>
    <w:qFormat/>
    <w:rsid w:val="0003201B"/>
    <w:pPr>
      <w:numPr>
        <w:numId w:val="5"/>
      </w:numPr>
      <w:tabs>
        <w:tab w:val="clear" w:pos="720"/>
        <w:tab w:val="num" w:pos="426"/>
      </w:tabs>
      <w:kinsoku w:val="0"/>
      <w:overflowPunct w:val="0"/>
      <w:autoSpaceDE w:val="0"/>
      <w:autoSpaceDN w:val="0"/>
      <w:ind w:left="426" w:hanging="284"/>
    </w:pPr>
  </w:style>
  <w:style w:type="paragraph" w:styleId="Indholdsfortegnelse3">
    <w:name w:val="toc 3"/>
    <w:basedOn w:val="Normal"/>
    <w:next w:val="Normal"/>
    <w:autoRedefine/>
    <w:uiPriority w:val="39"/>
    <w:unhideWhenUsed/>
    <w:rsid w:val="00976327"/>
    <w:pPr>
      <w:spacing w:after="100"/>
      <w:ind w:left="400"/>
    </w:pPr>
  </w:style>
  <w:style w:type="character" w:styleId="Kraftigfremhvning">
    <w:name w:val="Intense Emphasis"/>
    <w:basedOn w:val="Standardskrifttypeiafsnit"/>
    <w:uiPriority w:val="21"/>
    <w:rsid w:val="00E46B72"/>
    <w:rPr>
      <w:i/>
      <w:iCs/>
      <w:color w:val="5F9F2A" w:themeColor="accent1"/>
    </w:rPr>
  </w:style>
  <w:style w:type="paragraph" w:styleId="Ingenafstand">
    <w:name w:val="No Spacing"/>
    <w:uiPriority w:val="1"/>
    <w:rsid w:val="000F12DF"/>
    <w:pPr>
      <w:spacing w:after="0" w:line="240" w:lineRule="auto"/>
    </w:pPr>
    <w:rPr>
      <w:rFonts w:ascii="Arial" w:hAnsi="Arial"/>
      <w:sz w:val="20"/>
    </w:rPr>
  </w:style>
  <w:style w:type="character" w:customStyle="1" w:styleId="Punkt-overordnetml">
    <w:name w:val="Punkt - overordnet mål"/>
    <w:rsid w:val="00684597"/>
    <w:rPr>
      <w:bCs/>
    </w:rPr>
  </w:style>
  <w:style w:type="table" w:customStyle="1" w:styleId="Typografi1">
    <w:name w:val="Typografi1"/>
    <w:basedOn w:val="Tabel-Normal"/>
    <w:uiPriority w:val="99"/>
    <w:rsid w:val="001C1C78"/>
    <w:pPr>
      <w:spacing w:after="0" w:line="240" w:lineRule="auto"/>
    </w:pPr>
    <w:tblPr/>
  </w:style>
  <w:style w:type="paragraph" w:customStyle="1" w:styleId="Standardtekst">
    <w:name w:val="Standardtekst"/>
    <w:basedOn w:val="Normal"/>
    <w:link w:val="StandardtekstTegn"/>
    <w:rsid w:val="0072397C"/>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overflowPunct w:val="0"/>
      <w:autoSpaceDE w:val="0"/>
      <w:autoSpaceDN w:val="0"/>
      <w:adjustRightInd w:val="0"/>
      <w:spacing w:line="240" w:lineRule="auto"/>
      <w:jc w:val="both"/>
      <w:textAlignment w:val="baseline"/>
    </w:pPr>
    <w:rPr>
      <w:rFonts w:ascii="Verdana" w:eastAsia="Times New Roman" w:hAnsi="Verdana" w:cs="Times New Roman"/>
      <w:color w:val="000000"/>
      <w:szCs w:val="20"/>
      <w:lang w:val="en-US" w:eastAsia="da-DK"/>
    </w:rPr>
  </w:style>
  <w:style w:type="character" w:customStyle="1" w:styleId="StandardtekstTegn">
    <w:name w:val="Standardtekst Tegn"/>
    <w:basedOn w:val="Standardskrifttypeiafsnit"/>
    <w:link w:val="Standardtekst"/>
    <w:rsid w:val="0072397C"/>
    <w:rPr>
      <w:rFonts w:ascii="Verdana" w:eastAsia="Times New Roman" w:hAnsi="Verdana" w:cs="Times New Roman"/>
      <w:color w:val="000000"/>
      <w:sz w:val="20"/>
      <w:szCs w:val="20"/>
      <w:lang w:val="en-US" w:eastAsia="da-DK"/>
    </w:rPr>
  </w:style>
  <w:style w:type="paragraph" w:customStyle="1" w:styleId="Tabelnoter">
    <w:name w:val="Tabel noter"/>
    <w:basedOn w:val="Normal"/>
    <w:link w:val="TabelnoterTegnTegn"/>
    <w:rsid w:val="007159A3"/>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27" w:hanging="227"/>
      <w:jc w:val="both"/>
    </w:pPr>
    <w:rPr>
      <w:rFonts w:ascii="Verdana" w:eastAsia="Times New Roman" w:hAnsi="Verdana" w:cs="Times New Roman"/>
      <w:sz w:val="14"/>
      <w:szCs w:val="18"/>
      <w:lang w:eastAsia="da-DK"/>
    </w:rPr>
  </w:style>
  <w:style w:type="character" w:customStyle="1" w:styleId="TabelnoterTegnTegn">
    <w:name w:val="Tabel noter Tegn Tegn"/>
    <w:basedOn w:val="Standardskrifttypeiafsnit"/>
    <w:link w:val="Tabelnoter"/>
    <w:rsid w:val="007159A3"/>
    <w:rPr>
      <w:rFonts w:ascii="Verdana" w:eastAsia="Times New Roman" w:hAnsi="Verdana" w:cs="Times New Roman"/>
      <w:sz w:val="14"/>
      <w:szCs w:val="18"/>
      <w:lang w:eastAsia="da-DK"/>
    </w:rPr>
  </w:style>
  <w:style w:type="paragraph" w:styleId="Fodnotetekst">
    <w:name w:val="footnote text"/>
    <w:basedOn w:val="Normal"/>
    <w:link w:val="FodnotetekstTegn"/>
    <w:uiPriority w:val="99"/>
    <w:unhideWhenUsed/>
    <w:rsid w:val="00954682"/>
    <w:pPr>
      <w:spacing w:line="240" w:lineRule="auto"/>
    </w:pPr>
    <w:rPr>
      <w:szCs w:val="20"/>
    </w:rPr>
  </w:style>
  <w:style w:type="character" w:customStyle="1" w:styleId="FodnotetekstTegn">
    <w:name w:val="Fodnotetekst Tegn"/>
    <w:basedOn w:val="Standardskrifttypeiafsnit"/>
    <w:link w:val="Fodnotetekst"/>
    <w:uiPriority w:val="99"/>
    <w:rsid w:val="00954682"/>
    <w:rPr>
      <w:rFonts w:ascii="Arial" w:hAnsi="Arial"/>
      <w:sz w:val="20"/>
      <w:szCs w:val="20"/>
    </w:rPr>
  </w:style>
  <w:style w:type="character" w:styleId="Fodnotehenvisning">
    <w:name w:val="footnote reference"/>
    <w:basedOn w:val="Standardskrifttypeiafsnit"/>
    <w:uiPriority w:val="99"/>
    <w:semiHidden/>
    <w:unhideWhenUsed/>
    <w:rsid w:val="00954682"/>
    <w:rPr>
      <w:vertAlign w:val="superscript"/>
    </w:rPr>
  </w:style>
  <w:style w:type="character" w:customStyle="1" w:styleId="Fedtabeloverskrift">
    <w:name w:val="Fed/tabeloverskrift"/>
    <w:basedOn w:val="Standardskrifttypeiafsnit"/>
    <w:rsid w:val="00954682"/>
    <w:rPr>
      <w:b/>
      <w:bCs/>
    </w:rPr>
  </w:style>
  <w:style w:type="character" w:customStyle="1" w:styleId="Delml">
    <w:name w:val="Delmål"/>
    <w:basedOn w:val="Punkt-overordnetml"/>
    <w:rsid w:val="00954682"/>
    <w:rPr>
      <w:b/>
      <w:bCs/>
    </w:rPr>
  </w:style>
  <w:style w:type="character" w:customStyle="1" w:styleId="Tabelvenstre">
    <w:name w:val="Tabel + venstre"/>
    <w:rsid w:val="00954682"/>
    <w:rPr>
      <w:sz w:val="16"/>
    </w:rPr>
  </w:style>
  <w:style w:type="paragraph" w:customStyle="1" w:styleId="DelmlNormal6pktefter">
    <w:name w:val="Delmål Normal + 6 pkt. efter"/>
    <w:basedOn w:val="Normal"/>
    <w:link w:val="DelmlNormal6pktefterTegnTegn"/>
    <w:rsid w:val="00954682"/>
    <w:pPr>
      <w:autoSpaceDE w:val="0"/>
      <w:autoSpaceDN w:val="0"/>
      <w:adjustRightInd w:val="0"/>
      <w:spacing w:line="240" w:lineRule="auto"/>
    </w:pPr>
    <w:rPr>
      <w:rFonts w:ascii="Verdana" w:eastAsia="Times New Roman" w:hAnsi="Verdana" w:cs="Times New Roman"/>
      <w:szCs w:val="20"/>
      <w:lang w:eastAsia="da-DK"/>
    </w:rPr>
  </w:style>
  <w:style w:type="character" w:customStyle="1" w:styleId="DelmlNormal6pktefterTegnTegn">
    <w:name w:val="Delmål Normal + 6 pkt. efter Tegn Tegn"/>
    <w:basedOn w:val="Standardskrifttypeiafsnit"/>
    <w:link w:val="DelmlNormal6pktefter"/>
    <w:rsid w:val="00954682"/>
    <w:rPr>
      <w:rFonts w:ascii="Verdana" w:eastAsia="Times New Roman" w:hAnsi="Verdana" w:cs="Times New Roman"/>
      <w:sz w:val="20"/>
      <w:szCs w:val="20"/>
      <w:lang w:eastAsia="da-DK"/>
    </w:rPr>
  </w:style>
  <w:style w:type="paragraph" w:styleId="Indholdsfortegnelse4">
    <w:name w:val="toc 4"/>
    <w:basedOn w:val="Normal"/>
    <w:next w:val="Normal"/>
    <w:autoRedefine/>
    <w:uiPriority w:val="39"/>
    <w:unhideWhenUsed/>
    <w:rsid w:val="00025480"/>
    <w:pPr>
      <w:spacing w:after="100" w:line="259" w:lineRule="auto"/>
      <w:ind w:left="660"/>
    </w:pPr>
    <w:rPr>
      <w:rFonts w:asciiTheme="minorHAnsi" w:eastAsiaTheme="minorEastAsia" w:hAnsiTheme="minorHAnsi"/>
      <w:sz w:val="22"/>
      <w:lang w:eastAsia="da-DK"/>
    </w:rPr>
  </w:style>
  <w:style w:type="paragraph" w:styleId="Indholdsfortegnelse5">
    <w:name w:val="toc 5"/>
    <w:basedOn w:val="Normal"/>
    <w:next w:val="Normal"/>
    <w:autoRedefine/>
    <w:uiPriority w:val="39"/>
    <w:unhideWhenUsed/>
    <w:rsid w:val="00025480"/>
    <w:pPr>
      <w:spacing w:after="100" w:line="259" w:lineRule="auto"/>
      <w:ind w:left="880"/>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025480"/>
    <w:pPr>
      <w:spacing w:after="100" w:line="259" w:lineRule="auto"/>
      <w:ind w:left="1100"/>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025480"/>
    <w:pPr>
      <w:spacing w:after="100" w:line="259" w:lineRule="auto"/>
      <w:ind w:left="1320"/>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025480"/>
    <w:pPr>
      <w:spacing w:after="100" w:line="259" w:lineRule="auto"/>
      <w:ind w:left="1540"/>
    </w:pPr>
    <w:rPr>
      <w:rFonts w:asciiTheme="minorHAnsi" w:eastAsiaTheme="minorEastAsia" w:hAnsiTheme="minorHAnsi"/>
      <w:sz w:val="22"/>
      <w:lang w:eastAsia="da-DK"/>
    </w:rPr>
  </w:style>
  <w:style w:type="paragraph" w:styleId="Almindeligtekst">
    <w:name w:val="Plain Text"/>
    <w:basedOn w:val="Normal"/>
    <w:link w:val="AlmindeligtekstTegn"/>
    <w:uiPriority w:val="99"/>
    <w:unhideWhenUsed/>
    <w:rsid w:val="00057B83"/>
    <w:pPr>
      <w:spacing w:line="240" w:lineRule="auto"/>
    </w:pPr>
    <w:rPr>
      <w:rFonts w:ascii="Calibri" w:hAnsi="Calibri"/>
      <w:sz w:val="22"/>
      <w:szCs w:val="21"/>
    </w:rPr>
  </w:style>
  <w:style w:type="character" w:customStyle="1" w:styleId="AlmindeligtekstTegn">
    <w:name w:val="Almindelig tekst Tegn"/>
    <w:basedOn w:val="Standardskrifttypeiafsnit"/>
    <w:link w:val="Almindeligtekst"/>
    <w:uiPriority w:val="99"/>
    <w:rsid w:val="00057B83"/>
    <w:rPr>
      <w:rFonts w:ascii="Calibri" w:hAnsi="Calibri"/>
      <w:szCs w:val="21"/>
    </w:rPr>
  </w:style>
  <w:style w:type="paragraph" w:customStyle="1" w:styleId="Billedoverskrift">
    <w:name w:val="Billedoverskrift"/>
    <w:basedOn w:val="Normal"/>
    <w:link w:val="BilledoverskriftTegn"/>
    <w:uiPriority w:val="1"/>
    <w:qFormat/>
    <w:rsid w:val="00911841"/>
    <w:pPr>
      <w:spacing w:before="240" w:after="60"/>
    </w:pPr>
    <w:rPr>
      <w:b/>
      <w:szCs w:val="20"/>
    </w:rPr>
  </w:style>
  <w:style w:type="character" w:customStyle="1" w:styleId="BilledoverskriftTegn">
    <w:name w:val="Billedoverskrift Tegn"/>
    <w:basedOn w:val="Standardskrifttypeiafsnit"/>
    <w:link w:val="Billedoverskrift"/>
    <w:uiPriority w:val="1"/>
    <w:rsid w:val="00911841"/>
    <w:rPr>
      <w:rFonts w:ascii="Arial" w:hAnsi="Arial"/>
      <w:b/>
      <w:color w:val="404040" w:themeColor="text1" w:themeTint="BF"/>
      <w:sz w:val="20"/>
      <w:szCs w:val="20"/>
    </w:rPr>
  </w:style>
  <w:style w:type="character" w:styleId="Svagfremhvning">
    <w:name w:val="Subtle Emphasis"/>
    <w:uiPriority w:val="19"/>
    <w:rsid w:val="00C00113"/>
  </w:style>
  <w:style w:type="paragraph" w:customStyle="1" w:styleId="Tabeloverskrift">
    <w:name w:val="Tabel overskrift"/>
    <w:link w:val="TabeloverskriftTegn"/>
    <w:qFormat/>
    <w:rsid w:val="005D7054"/>
    <w:pPr>
      <w:spacing w:after="0" w:line="240" w:lineRule="auto"/>
    </w:pPr>
    <w:rPr>
      <w:rFonts w:ascii="Arial" w:hAnsi="Arial" w:cs="Arial"/>
      <w:color w:val="FFFFFF" w:themeColor="background1"/>
      <w:sz w:val="20"/>
      <w:szCs w:val="20"/>
    </w:rPr>
  </w:style>
  <w:style w:type="paragraph" w:customStyle="1" w:styleId="Pktiboks">
    <w:name w:val="Pkt i boks"/>
    <w:basedOn w:val="Listeafsnit"/>
    <w:link w:val="PktiboksTegn"/>
    <w:qFormat/>
    <w:rsid w:val="00C57025"/>
    <w:pPr>
      <w:shd w:val="clear" w:color="auto" w:fill="5F9F2A"/>
      <w:spacing w:before="60" w:after="0"/>
    </w:pPr>
    <w:rPr>
      <w:sz w:val="16"/>
      <w:szCs w:val="14"/>
    </w:rPr>
  </w:style>
  <w:style w:type="character" w:customStyle="1" w:styleId="TabeloverskriftTegn">
    <w:name w:val="Tabel overskrift Tegn"/>
    <w:basedOn w:val="Standardskrifttypeiafsnit"/>
    <w:link w:val="Tabeloverskrift"/>
    <w:rsid w:val="005D7054"/>
    <w:rPr>
      <w:rFonts w:ascii="Arial" w:hAnsi="Arial" w:cs="Arial"/>
      <w:color w:val="FFFFFF" w:themeColor="background1"/>
      <w:sz w:val="20"/>
      <w:szCs w:val="20"/>
    </w:rPr>
  </w:style>
  <w:style w:type="paragraph" w:customStyle="1" w:styleId="Tabelr">
    <w:name w:val="Tabelår"/>
    <w:basedOn w:val="Normal"/>
    <w:link w:val="TabelrTegn"/>
    <w:uiPriority w:val="1"/>
    <w:qFormat/>
    <w:rsid w:val="005D7054"/>
    <w:pPr>
      <w:spacing w:after="0"/>
      <w:jc w:val="center"/>
    </w:pPr>
    <w:rPr>
      <w:rFonts w:cs="Arial"/>
      <w:color w:val="FFFFFF" w:themeColor="background1"/>
      <w:szCs w:val="20"/>
    </w:rPr>
  </w:style>
  <w:style w:type="character" w:customStyle="1" w:styleId="Opstilling-punkttegnTegn">
    <w:name w:val="Opstilling - punkttegn Tegn"/>
    <w:aliases w:val="Punktopstilling margen Tegn"/>
    <w:basedOn w:val="Standardskrifttypeiafsnit"/>
    <w:link w:val="Opstilling-punkttegn"/>
    <w:uiPriority w:val="99"/>
    <w:rsid w:val="0037594C"/>
    <w:rPr>
      <w:rFonts w:ascii="Arial" w:hAnsi="Arial"/>
      <w:color w:val="409CDA"/>
      <w:sz w:val="20"/>
    </w:rPr>
  </w:style>
  <w:style w:type="character" w:customStyle="1" w:styleId="ListeafsnitTegn">
    <w:name w:val="Listeafsnit Tegn"/>
    <w:basedOn w:val="Opstilling-punkttegnTegn"/>
    <w:link w:val="Listeafsnit"/>
    <w:uiPriority w:val="34"/>
    <w:rsid w:val="0037594C"/>
    <w:rPr>
      <w:rFonts w:ascii="Arial" w:hAnsi="Arial"/>
      <w:color w:val="FFFFFF" w:themeColor="background1"/>
      <w:sz w:val="20"/>
    </w:rPr>
  </w:style>
  <w:style w:type="character" w:customStyle="1" w:styleId="PktiboksTegn">
    <w:name w:val="Pkt i boks Tegn"/>
    <w:basedOn w:val="ListeafsnitTegn"/>
    <w:link w:val="Pktiboks"/>
    <w:rsid w:val="00C57025"/>
    <w:rPr>
      <w:rFonts w:ascii="Arial" w:hAnsi="Arial"/>
      <w:color w:val="FFFFFF" w:themeColor="background1"/>
      <w:sz w:val="16"/>
      <w:szCs w:val="14"/>
      <w:shd w:val="clear" w:color="auto" w:fill="5F9F2A"/>
    </w:rPr>
  </w:style>
  <w:style w:type="paragraph" w:customStyle="1" w:styleId="Tabelml">
    <w:name w:val="Tabel mål"/>
    <w:basedOn w:val="Normal"/>
    <w:link w:val="TabelmlTegn"/>
    <w:qFormat/>
    <w:rsid w:val="00363B50"/>
    <w:pPr>
      <w:spacing w:before="60" w:after="60" w:line="240" w:lineRule="auto"/>
    </w:pPr>
    <w:rPr>
      <w:rFonts w:cs="Arial"/>
      <w:sz w:val="16"/>
      <w:szCs w:val="16"/>
    </w:rPr>
  </w:style>
  <w:style w:type="character" w:customStyle="1" w:styleId="TabelrTegn">
    <w:name w:val="Tabelår Tegn"/>
    <w:basedOn w:val="Standardskrifttypeiafsnit"/>
    <w:link w:val="Tabelr"/>
    <w:uiPriority w:val="1"/>
    <w:rsid w:val="0003201B"/>
    <w:rPr>
      <w:rFonts w:ascii="Arial" w:hAnsi="Arial" w:cs="Arial"/>
      <w:color w:val="FFFFFF" w:themeColor="background1"/>
      <w:sz w:val="20"/>
      <w:szCs w:val="20"/>
    </w:rPr>
  </w:style>
  <w:style w:type="paragraph" w:customStyle="1" w:styleId="Indikatortabel">
    <w:name w:val="Indikator tabel"/>
    <w:basedOn w:val="Tabelml"/>
    <w:link w:val="IndikatortabelTegn"/>
    <w:uiPriority w:val="1"/>
    <w:qFormat/>
    <w:rsid w:val="00363B50"/>
    <w:pPr>
      <w:ind w:left="113"/>
    </w:pPr>
  </w:style>
  <w:style w:type="character" w:customStyle="1" w:styleId="TabelmlTegn">
    <w:name w:val="Tabel mål Tegn"/>
    <w:basedOn w:val="Standardskrifttypeiafsnit"/>
    <w:link w:val="Tabelml"/>
    <w:rsid w:val="00363B50"/>
    <w:rPr>
      <w:rFonts w:ascii="Arial" w:hAnsi="Arial" w:cs="Arial"/>
      <w:color w:val="404040" w:themeColor="text1" w:themeTint="BF"/>
      <w:sz w:val="16"/>
      <w:szCs w:val="16"/>
    </w:rPr>
  </w:style>
  <w:style w:type="paragraph" w:customStyle="1" w:styleId="Tabeludfyldningiret">
    <w:name w:val="Tabel udfyldning i året"/>
    <w:basedOn w:val="Normal"/>
    <w:link w:val="TabeludfyldningiretTegn"/>
    <w:qFormat/>
    <w:rsid w:val="00F46AFB"/>
    <w:pPr>
      <w:spacing w:before="60" w:after="60" w:line="240" w:lineRule="auto"/>
      <w:jc w:val="right"/>
    </w:pPr>
    <w:rPr>
      <w:rFonts w:cs="Arial"/>
      <w:sz w:val="16"/>
      <w:szCs w:val="16"/>
    </w:rPr>
  </w:style>
  <w:style w:type="character" w:customStyle="1" w:styleId="IndikatortabelTegn">
    <w:name w:val="Indikator tabel Tegn"/>
    <w:basedOn w:val="Standardskrifttypeiafsnit"/>
    <w:link w:val="Indikatortabel"/>
    <w:uiPriority w:val="1"/>
    <w:rsid w:val="0003201B"/>
    <w:rPr>
      <w:rFonts w:ascii="Arial" w:hAnsi="Arial" w:cs="Arial"/>
      <w:color w:val="404040" w:themeColor="text1" w:themeTint="BF"/>
      <w:sz w:val="16"/>
      <w:szCs w:val="16"/>
    </w:rPr>
  </w:style>
  <w:style w:type="character" w:customStyle="1" w:styleId="TabeludfyldningiretTegn">
    <w:name w:val="Tabel udfyldning i året Tegn"/>
    <w:basedOn w:val="Standardskrifttypeiafsnit"/>
    <w:link w:val="Tabeludfyldningiret"/>
    <w:rsid w:val="00F46AFB"/>
    <w:rPr>
      <w:rFonts w:ascii="Arial" w:hAnsi="Arial" w:cs="Arial"/>
      <w:color w:val="404040" w:themeColor="text1" w:themeTint="BF"/>
      <w:sz w:val="16"/>
      <w:szCs w:val="16"/>
    </w:rPr>
  </w:style>
  <w:style w:type="paragraph" w:styleId="Korrektur">
    <w:name w:val="Revision"/>
    <w:hidden/>
    <w:uiPriority w:val="99"/>
    <w:semiHidden/>
    <w:rsid w:val="001818B3"/>
    <w:pPr>
      <w:spacing w:after="0" w:line="240" w:lineRule="auto"/>
    </w:pPr>
    <w:rPr>
      <w:rFonts w:ascii="Arial" w:hAnsi="Arial"/>
      <w:color w:val="404040" w:themeColor="text1" w:themeTint="BF"/>
      <w:sz w:val="20"/>
    </w:rPr>
  </w:style>
  <w:style w:type="paragraph" w:customStyle="1" w:styleId="Standardtek1">
    <w:name w:val="Standardtek:1"/>
    <w:basedOn w:val="Normal"/>
    <w:rsid w:val="00357CC9"/>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0"/>
      <w:lang w:val="en-US" w:eastAsia="da-DK"/>
    </w:rPr>
  </w:style>
  <w:style w:type="paragraph" w:customStyle="1" w:styleId="Standardtekst1">
    <w:name w:val="Standardtekst:1"/>
    <w:basedOn w:val="Normal"/>
    <w:rsid w:val="006637F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da-DK"/>
    </w:rPr>
  </w:style>
  <w:style w:type="table" w:styleId="Gittertabel4-farve1">
    <w:name w:val="Grid Table 4 Accent 1"/>
    <w:basedOn w:val="Tabel-Normal"/>
    <w:uiPriority w:val="49"/>
    <w:rsid w:val="00D46DF0"/>
    <w:pPr>
      <w:spacing w:after="0" w:line="240" w:lineRule="auto"/>
    </w:pPr>
    <w:rPr>
      <w:rFonts w:ascii="Verdana" w:hAnsi="Verdana"/>
      <w:sz w:val="20"/>
    </w:rPr>
    <w:tblPr>
      <w:tblStyleRowBandSize w:val="1"/>
      <w:tblStyleColBandSize w:val="1"/>
      <w:tblBorders>
        <w:top w:val="single" w:sz="4" w:space="0" w:color="9CD86C" w:themeColor="accent1" w:themeTint="99"/>
        <w:left w:val="single" w:sz="4" w:space="0" w:color="9CD86C" w:themeColor="accent1" w:themeTint="99"/>
        <w:bottom w:val="single" w:sz="4" w:space="0" w:color="9CD86C" w:themeColor="accent1" w:themeTint="99"/>
        <w:right w:val="single" w:sz="4" w:space="0" w:color="9CD86C" w:themeColor="accent1" w:themeTint="99"/>
        <w:insideH w:val="single" w:sz="4" w:space="0" w:color="9CD86C" w:themeColor="accent1" w:themeTint="99"/>
        <w:insideV w:val="single" w:sz="4" w:space="0" w:color="9CD86C" w:themeColor="accent1" w:themeTint="99"/>
      </w:tblBorders>
    </w:tblPr>
    <w:tblStylePr w:type="firstRow">
      <w:rPr>
        <w:b/>
        <w:bCs/>
        <w:color w:val="FFFFFF" w:themeColor="background1"/>
      </w:rPr>
      <w:tblPr/>
      <w:tcPr>
        <w:tcBorders>
          <w:top w:val="single" w:sz="4" w:space="0" w:color="5F9F2A" w:themeColor="accent1"/>
          <w:left w:val="single" w:sz="4" w:space="0" w:color="5F9F2A" w:themeColor="accent1"/>
          <w:bottom w:val="single" w:sz="4" w:space="0" w:color="5F9F2A" w:themeColor="accent1"/>
          <w:right w:val="single" w:sz="4" w:space="0" w:color="5F9F2A" w:themeColor="accent1"/>
          <w:insideH w:val="nil"/>
          <w:insideV w:val="nil"/>
        </w:tcBorders>
        <w:shd w:val="clear" w:color="auto" w:fill="5F9F2A" w:themeFill="accent1"/>
      </w:tcPr>
    </w:tblStylePr>
    <w:tblStylePr w:type="lastRow">
      <w:rPr>
        <w:b/>
        <w:bCs/>
      </w:rPr>
      <w:tblPr/>
      <w:tcPr>
        <w:tcBorders>
          <w:top w:val="double" w:sz="4" w:space="0" w:color="5F9F2A" w:themeColor="accent1"/>
        </w:tcBorders>
      </w:tcPr>
    </w:tblStylePr>
    <w:tblStylePr w:type="firstCol">
      <w:rPr>
        <w:b/>
        <w:bCs/>
      </w:rPr>
    </w:tblStylePr>
    <w:tblStylePr w:type="lastCol">
      <w:rPr>
        <w:b/>
        <w:bCs/>
      </w:rPr>
    </w:tblStylePr>
    <w:tblStylePr w:type="band1Vert">
      <w:tblPr/>
      <w:tcPr>
        <w:shd w:val="clear" w:color="auto" w:fill="DEF2CD" w:themeFill="accent1" w:themeFillTint="33"/>
      </w:tcPr>
    </w:tblStylePr>
    <w:tblStylePr w:type="band1Horz">
      <w:tblPr/>
      <w:tcPr>
        <w:shd w:val="clear" w:color="auto" w:fill="DEF2CD" w:themeFill="accent1" w:themeFillTint="33"/>
      </w:tcPr>
    </w:tblStylePr>
  </w:style>
  <w:style w:type="paragraph" w:customStyle="1" w:styleId="Rdtilsletning">
    <w:name w:val="Rød til sletning"/>
    <w:basedOn w:val="Normal"/>
    <w:link w:val="RdtilsletningTegn"/>
    <w:qFormat/>
    <w:rsid w:val="006E16D3"/>
    <w:pPr>
      <w:spacing w:line="280" w:lineRule="atLeast"/>
    </w:pPr>
    <w:rPr>
      <w:rFonts w:ascii="Verdana" w:eastAsia="Calibri" w:hAnsi="Verdana" w:cs="Times New Roman"/>
      <w:color w:val="FF0000"/>
      <w:szCs w:val="20"/>
    </w:rPr>
  </w:style>
  <w:style w:type="character" w:customStyle="1" w:styleId="RdtilsletningTegn">
    <w:name w:val="Rød til sletning Tegn"/>
    <w:basedOn w:val="Standardskrifttypeiafsnit"/>
    <w:link w:val="Rdtilsletning"/>
    <w:rsid w:val="006E16D3"/>
    <w:rPr>
      <w:rFonts w:ascii="Verdana" w:eastAsia="Calibri" w:hAnsi="Verdana" w:cs="Times New Roman"/>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121">
      <w:bodyDiv w:val="1"/>
      <w:marLeft w:val="0"/>
      <w:marRight w:val="0"/>
      <w:marTop w:val="0"/>
      <w:marBottom w:val="0"/>
      <w:divBdr>
        <w:top w:val="none" w:sz="0" w:space="0" w:color="auto"/>
        <w:left w:val="none" w:sz="0" w:space="0" w:color="auto"/>
        <w:bottom w:val="none" w:sz="0" w:space="0" w:color="auto"/>
        <w:right w:val="none" w:sz="0" w:space="0" w:color="auto"/>
      </w:divBdr>
    </w:div>
    <w:div w:id="74404144">
      <w:bodyDiv w:val="1"/>
      <w:marLeft w:val="0"/>
      <w:marRight w:val="0"/>
      <w:marTop w:val="0"/>
      <w:marBottom w:val="0"/>
      <w:divBdr>
        <w:top w:val="none" w:sz="0" w:space="0" w:color="auto"/>
        <w:left w:val="none" w:sz="0" w:space="0" w:color="auto"/>
        <w:bottom w:val="none" w:sz="0" w:space="0" w:color="auto"/>
        <w:right w:val="none" w:sz="0" w:space="0" w:color="auto"/>
      </w:divBdr>
    </w:div>
    <w:div w:id="78871615">
      <w:bodyDiv w:val="1"/>
      <w:marLeft w:val="0"/>
      <w:marRight w:val="0"/>
      <w:marTop w:val="0"/>
      <w:marBottom w:val="0"/>
      <w:divBdr>
        <w:top w:val="none" w:sz="0" w:space="0" w:color="auto"/>
        <w:left w:val="none" w:sz="0" w:space="0" w:color="auto"/>
        <w:bottom w:val="none" w:sz="0" w:space="0" w:color="auto"/>
        <w:right w:val="none" w:sz="0" w:space="0" w:color="auto"/>
      </w:divBdr>
    </w:div>
    <w:div w:id="87310300">
      <w:bodyDiv w:val="1"/>
      <w:marLeft w:val="0"/>
      <w:marRight w:val="0"/>
      <w:marTop w:val="0"/>
      <w:marBottom w:val="0"/>
      <w:divBdr>
        <w:top w:val="none" w:sz="0" w:space="0" w:color="auto"/>
        <w:left w:val="none" w:sz="0" w:space="0" w:color="auto"/>
        <w:bottom w:val="none" w:sz="0" w:space="0" w:color="auto"/>
        <w:right w:val="none" w:sz="0" w:space="0" w:color="auto"/>
      </w:divBdr>
    </w:div>
    <w:div w:id="98569200">
      <w:bodyDiv w:val="1"/>
      <w:marLeft w:val="0"/>
      <w:marRight w:val="0"/>
      <w:marTop w:val="0"/>
      <w:marBottom w:val="0"/>
      <w:divBdr>
        <w:top w:val="none" w:sz="0" w:space="0" w:color="auto"/>
        <w:left w:val="none" w:sz="0" w:space="0" w:color="auto"/>
        <w:bottom w:val="none" w:sz="0" w:space="0" w:color="auto"/>
        <w:right w:val="none" w:sz="0" w:space="0" w:color="auto"/>
      </w:divBdr>
    </w:div>
    <w:div w:id="142623600">
      <w:bodyDiv w:val="1"/>
      <w:marLeft w:val="0"/>
      <w:marRight w:val="0"/>
      <w:marTop w:val="0"/>
      <w:marBottom w:val="0"/>
      <w:divBdr>
        <w:top w:val="none" w:sz="0" w:space="0" w:color="auto"/>
        <w:left w:val="none" w:sz="0" w:space="0" w:color="auto"/>
        <w:bottom w:val="none" w:sz="0" w:space="0" w:color="auto"/>
        <w:right w:val="none" w:sz="0" w:space="0" w:color="auto"/>
      </w:divBdr>
    </w:div>
    <w:div w:id="159350422">
      <w:bodyDiv w:val="1"/>
      <w:marLeft w:val="0"/>
      <w:marRight w:val="0"/>
      <w:marTop w:val="0"/>
      <w:marBottom w:val="0"/>
      <w:divBdr>
        <w:top w:val="none" w:sz="0" w:space="0" w:color="auto"/>
        <w:left w:val="none" w:sz="0" w:space="0" w:color="auto"/>
        <w:bottom w:val="none" w:sz="0" w:space="0" w:color="auto"/>
        <w:right w:val="none" w:sz="0" w:space="0" w:color="auto"/>
      </w:divBdr>
    </w:div>
    <w:div w:id="167404477">
      <w:bodyDiv w:val="1"/>
      <w:marLeft w:val="0"/>
      <w:marRight w:val="0"/>
      <w:marTop w:val="0"/>
      <w:marBottom w:val="0"/>
      <w:divBdr>
        <w:top w:val="none" w:sz="0" w:space="0" w:color="auto"/>
        <w:left w:val="none" w:sz="0" w:space="0" w:color="auto"/>
        <w:bottom w:val="none" w:sz="0" w:space="0" w:color="auto"/>
        <w:right w:val="none" w:sz="0" w:space="0" w:color="auto"/>
      </w:divBdr>
    </w:div>
    <w:div w:id="184908581">
      <w:bodyDiv w:val="1"/>
      <w:marLeft w:val="0"/>
      <w:marRight w:val="0"/>
      <w:marTop w:val="0"/>
      <w:marBottom w:val="0"/>
      <w:divBdr>
        <w:top w:val="none" w:sz="0" w:space="0" w:color="auto"/>
        <w:left w:val="none" w:sz="0" w:space="0" w:color="auto"/>
        <w:bottom w:val="none" w:sz="0" w:space="0" w:color="auto"/>
        <w:right w:val="none" w:sz="0" w:space="0" w:color="auto"/>
      </w:divBdr>
      <w:divsChild>
        <w:div w:id="1110011230">
          <w:marLeft w:val="0"/>
          <w:marRight w:val="0"/>
          <w:marTop w:val="0"/>
          <w:marBottom w:val="0"/>
          <w:divBdr>
            <w:top w:val="none" w:sz="0" w:space="0" w:color="auto"/>
            <w:left w:val="none" w:sz="0" w:space="0" w:color="auto"/>
            <w:bottom w:val="none" w:sz="0" w:space="0" w:color="auto"/>
            <w:right w:val="none" w:sz="0" w:space="0" w:color="auto"/>
          </w:divBdr>
          <w:divsChild>
            <w:div w:id="1815022582">
              <w:marLeft w:val="0"/>
              <w:marRight w:val="0"/>
              <w:marTop w:val="0"/>
              <w:marBottom w:val="0"/>
              <w:divBdr>
                <w:top w:val="none" w:sz="0" w:space="0" w:color="auto"/>
                <w:left w:val="none" w:sz="0" w:space="0" w:color="auto"/>
                <w:bottom w:val="none" w:sz="0" w:space="0" w:color="auto"/>
                <w:right w:val="none" w:sz="0" w:space="0" w:color="auto"/>
              </w:divBdr>
              <w:divsChild>
                <w:div w:id="1233849301">
                  <w:marLeft w:val="0"/>
                  <w:marRight w:val="0"/>
                  <w:marTop w:val="0"/>
                  <w:marBottom w:val="0"/>
                  <w:divBdr>
                    <w:top w:val="none" w:sz="0" w:space="0" w:color="auto"/>
                    <w:left w:val="none" w:sz="0" w:space="0" w:color="auto"/>
                    <w:bottom w:val="none" w:sz="0" w:space="0" w:color="auto"/>
                    <w:right w:val="none" w:sz="0" w:space="0" w:color="auto"/>
                  </w:divBdr>
                  <w:divsChild>
                    <w:div w:id="16358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5158">
      <w:bodyDiv w:val="1"/>
      <w:marLeft w:val="0"/>
      <w:marRight w:val="0"/>
      <w:marTop w:val="0"/>
      <w:marBottom w:val="0"/>
      <w:divBdr>
        <w:top w:val="none" w:sz="0" w:space="0" w:color="auto"/>
        <w:left w:val="none" w:sz="0" w:space="0" w:color="auto"/>
        <w:bottom w:val="none" w:sz="0" w:space="0" w:color="auto"/>
        <w:right w:val="none" w:sz="0" w:space="0" w:color="auto"/>
      </w:divBdr>
    </w:div>
    <w:div w:id="224536277">
      <w:bodyDiv w:val="1"/>
      <w:marLeft w:val="0"/>
      <w:marRight w:val="0"/>
      <w:marTop w:val="0"/>
      <w:marBottom w:val="0"/>
      <w:divBdr>
        <w:top w:val="none" w:sz="0" w:space="0" w:color="auto"/>
        <w:left w:val="none" w:sz="0" w:space="0" w:color="auto"/>
        <w:bottom w:val="none" w:sz="0" w:space="0" w:color="auto"/>
        <w:right w:val="none" w:sz="0" w:space="0" w:color="auto"/>
      </w:divBdr>
    </w:div>
    <w:div w:id="244807011">
      <w:bodyDiv w:val="1"/>
      <w:marLeft w:val="0"/>
      <w:marRight w:val="0"/>
      <w:marTop w:val="0"/>
      <w:marBottom w:val="0"/>
      <w:divBdr>
        <w:top w:val="none" w:sz="0" w:space="0" w:color="auto"/>
        <w:left w:val="none" w:sz="0" w:space="0" w:color="auto"/>
        <w:bottom w:val="none" w:sz="0" w:space="0" w:color="auto"/>
        <w:right w:val="none" w:sz="0" w:space="0" w:color="auto"/>
      </w:divBdr>
    </w:div>
    <w:div w:id="249510090">
      <w:bodyDiv w:val="1"/>
      <w:marLeft w:val="0"/>
      <w:marRight w:val="0"/>
      <w:marTop w:val="0"/>
      <w:marBottom w:val="0"/>
      <w:divBdr>
        <w:top w:val="none" w:sz="0" w:space="0" w:color="auto"/>
        <w:left w:val="none" w:sz="0" w:space="0" w:color="auto"/>
        <w:bottom w:val="none" w:sz="0" w:space="0" w:color="auto"/>
        <w:right w:val="none" w:sz="0" w:space="0" w:color="auto"/>
      </w:divBdr>
    </w:div>
    <w:div w:id="253436824">
      <w:bodyDiv w:val="1"/>
      <w:marLeft w:val="0"/>
      <w:marRight w:val="0"/>
      <w:marTop w:val="0"/>
      <w:marBottom w:val="0"/>
      <w:divBdr>
        <w:top w:val="none" w:sz="0" w:space="0" w:color="auto"/>
        <w:left w:val="none" w:sz="0" w:space="0" w:color="auto"/>
        <w:bottom w:val="none" w:sz="0" w:space="0" w:color="auto"/>
        <w:right w:val="none" w:sz="0" w:space="0" w:color="auto"/>
      </w:divBdr>
    </w:div>
    <w:div w:id="255598208">
      <w:bodyDiv w:val="1"/>
      <w:marLeft w:val="0"/>
      <w:marRight w:val="0"/>
      <w:marTop w:val="0"/>
      <w:marBottom w:val="0"/>
      <w:divBdr>
        <w:top w:val="none" w:sz="0" w:space="0" w:color="auto"/>
        <w:left w:val="none" w:sz="0" w:space="0" w:color="auto"/>
        <w:bottom w:val="none" w:sz="0" w:space="0" w:color="auto"/>
        <w:right w:val="none" w:sz="0" w:space="0" w:color="auto"/>
      </w:divBdr>
    </w:div>
    <w:div w:id="270205906">
      <w:bodyDiv w:val="1"/>
      <w:marLeft w:val="0"/>
      <w:marRight w:val="0"/>
      <w:marTop w:val="0"/>
      <w:marBottom w:val="0"/>
      <w:divBdr>
        <w:top w:val="none" w:sz="0" w:space="0" w:color="auto"/>
        <w:left w:val="none" w:sz="0" w:space="0" w:color="auto"/>
        <w:bottom w:val="none" w:sz="0" w:space="0" w:color="auto"/>
        <w:right w:val="none" w:sz="0" w:space="0" w:color="auto"/>
      </w:divBdr>
    </w:div>
    <w:div w:id="326520469">
      <w:bodyDiv w:val="1"/>
      <w:marLeft w:val="0"/>
      <w:marRight w:val="0"/>
      <w:marTop w:val="0"/>
      <w:marBottom w:val="0"/>
      <w:divBdr>
        <w:top w:val="none" w:sz="0" w:space="0" w:color="auto"/>
        <w:left w:val="none" w:sz="0" w:space="0" w:color="auto"/>
        <w:bottom w:val="none" w:sz="0" w:space="0" w:color="auto"/>
        <w:right w:val="none" w:sz="0" w:space="0" w:color="auto"/>
      </w:divBdr>
    </w:div>
    <w:div w:id="368458290">
      <w:bodyDiv w:val="1"/>
      <w:marLeft w:val="0"/>
      <w:marRight w:val="0"/>
      <w:marTop w:val="0"/>
      <w:marBottom w:val="0"/>
      <w:divBdr>
        <w:top w:val="none" w:sz="0" w:space="0" w:color="auto"/>
        <w:left w:val="none" w:sz="0" w:space="0" w:color="auto"/>
        <w:bottom w:val="none" w:sz="0" w:space="0" w:color="auto"/>
        <w:right w:val="none" w:sz="0" w:space="0" w:color="auto"/>
      </w:divBdr>
    </w:div>
    <w:div w:id="381948992">
      <w:bodyDiv w:val="1"/>
      <w:marLeft w:val="0"/>
      <w:marRight w:val="0"/>
      <w:marTop w:val="0"/>
      <w:marBottom w:val="0"/>
      <w:divBdr>
        <w:top w:val="none" w:sz="0" w:space="0" w:color="auto"/>
        <w:left w:val="none" w:sz="0" w:space="0" w:color="auto"/>
        <w:bottom w:val="none" w:sz="0" w:space="0" w:color="auto"/>
        <w:right w:val="none" w:sz="0" w:space="0" w:color="auto"/>
      </w:divBdr>
    </w:div>
    <w:div w:id="388311238">
      <w:bodyDiv w:val="1"/>
      <w:marLeft w:val="0"/>
      <w:marRight w:val="0"/>
      <w:marTop w:val="0"/>
      <w:marBottom w:val="0"/>
      <w:divBdr>
        <w:top w:val="none" w:sz="0" w:space="0" w:color="auto"/>
        <w:left w:val="none" w:sz="0" w:space="0" w:color="auto"/>
        <w:bottom w:val="none" w:sz="0" w:space="0" w:color="auto"/>
        <w:right w:val="none" w:sz="0" w:space="0" w:color="auto"/>
      </w:divBdr>
    </w:div>
    <w:div w:id="392001466">
      <w:bodyDiv w:val="1"/>
      <w:marLeft w:val="0"/>
      <w:marRight w:val="0"/>
      <w:marTop w:val="0"/>
      <w:marBottom w:val="0"/>
      <w:divBdr>
        <w:top w:val="none" w:sz="0" w:space="0" w:color="auto"/>
        <w:left w:val="none" w:sz="0" w:space="0" w:color="auto"/>
        <w:bottom w:val="none" w:sz="0" w:space="0" w:color="auto"/>
        <w:right w:val="none" w:sz="0" w:space="0" w:color="auto"/>
      </w:divBdr>
    </w:div>
    <w:div w:id="410201161">
      <w:bodyDiv w:val="1"/>
      <w:marLeft w:val="0"/>
      <w:marRight w:val="0"/>
      <w:marTop w:val="0"/>
      <w:marBottom w:val="0"/>
      <w:divBdr>
        <w:top w:val="none" w:sz="0" w:space="0" w:color="auto"/>
        <w:left w:val="none" w:sz="0" w:space="0" w:color="auto"/>
        <w:bottom w:val="none" w:sz="0" w:space="0" w:color="auto"/>
        <w:right w:val="none" w:sz="0" w:space="0" w:color="auto"/>
      </w:divBdr>
    </w:div>
    <w:div w:id="412507946">
      <w:bodyDiv w:val="1"/>
      <w:marLeft w:val="0"/>
      <w:marRight w:val="0"/>
      <w:marTop w:val="0"/>
      <w:marBottom w:val="0"/>
      <w:divBdr>
        <w:top w:val="none" w:sz="0" w:space="0" w:color="auto"/>
        <w:left w:val="none" w:sz="0" w:space="0" w:color="auto"/>
        <w:bottom w:val="none" w:sz="0" w:space="0" w:color="auto"/>
        <w:right w:val="none" w:sz="0" w:space="0" w:color="auto"/>
      </w:divBdr>
    </w:div>
    <w:div w:id="434402831">
      <w:bodyDiv w:val="1"/>
      <w:marLeft w:val="0"/>
      <w:marRight w:val="0"/>
      <w:marTop w:val="0"/>
      <w:marBottom w:val="0"/>
      <w:divBdr>
        <w:top w:val="none" w:sz="0" w:space="0" w:color="auto"/>
        <w:left w:val="none" w:sz="0" w:space="0" w:color="auto"/>
        <w:bottom w:val="none" w:sz="0" w:space="0" w:color="auto"/>
        <w:right w:val="none" w:sz="0" w:space="0" w:color="auto"/>
      </w:divBdr>
    </w:div>
    <w:div w:id="463079759">
      <w:bodyDiv w:val="1"/>
      <w:marLeft w:val="0"/>
      <w:marRight w:val="0"/>
      <w:marTop w:val="0"/>
      <w:marBottom w:val="0"/>
      <w:divBdr>
        <w:top w:val="none" w:sz="0" w:space="0" w:color="auto"/>
        <w:left w:val="none" w:sz="0" w:space="0" w:color="auto"/>
        <w:bottom w:val="none" w:sz="0" w:space="0" w:color="auto"/>
        <w:right w:val="none" w:sz="0" w:space="0" w:color="auto"/>
      </w:divBdr>
    </w:div>
    <w:div w:id="467207343">
      <w:bodyDiv w:val="1"/>
      <w:marLeft w:val="0"/>
      <w:marRight w:val="0"/>
      <w:marTop w:val="0"/>
      <w:marBottom w:val="0"/>
      <w:divBdr>
        <w:top w:val="none" w:sz="0" w:space="0" w:color="auto"/>
        <w:left w:val="none" w:sz="0" w:space="0" w:color="auto"/>
        <w:bottom w:val="none" w:sz="0" w:space="0" w:color="auto"/>
        <w:right w:val="none" w:sz="0" w:space="0" w:color="auto"/>
      </w:divBdr>
    </w:div>
    <w:div w:id="542450274">
      <w:bodyDiv w:val="1"/>
      <w:marLeft w:val="0"/>
      <w:marRight w:val="0"/>
      <w:marTop w:val="0"/>
      <w:marBottom w:val="0"/>
      <w:divBdr>
        <w:top w:val="none" w:sz="0" w:space="0" w:color="auto"/>
        <w:left w:val="none" w:sz="0" w:space="0" w:color="auto"/>
        <w:bottom w:val="none" w:sz="0" w:space="0" w:color="auto"/>
        <w:right w:val="none" w:sz="0" w:space="0" w:color="auto"/>
      </w:divBdr>
    </w:div>
    <w:div w:id="581961115">
      <w:bodyDiv w:val="1"/>
      <w:marLeft w:val="0"/>
      <w:marRight w:val="0"/>
      <w:marTop w:val="0"/>
      <w:marBottom w:val="0"/>
      <w:divBdr>
        <w:top w:val="none" w:sz="0" w:space="0" w:color="auto"/>
        <w:left w:val="none" w:sz="0" w:space="0" w:color="auto"/>
        <w:bottom w:val="none" w:sz="0" w:space="0" w:color="auto"/>
        <w:right w:val="none" w:sz="0" w:space="0" w:color="auto"/>
      </w:divBdr>
    </w:div>
    <w:div w:id="636953122">
      <w:bodyDiv w:val="1"/>
      <w:marLeft w:val="0"/>
      <w:marRight w:val="0"/>
      <w:marTop w:val="0"/>
      <w:marBottom w:val="0"/>
      <w:divBdr>
        <w:top w:val="none" w:sz="0" w:space="0" w:color="auto"/>
        <w:left w:val="none" w:sz="0" w:space="0" w:color="auto"/>
        <w:bottom w:val="none" w:sz="0" w:space="0" w:color="auto"/>
        <w:right w:val="none" w:sz="0" w:space="0" w:color="auto"/>
      </w:divBdr>
    </w:div>
    <w:div w:id="642732333">
      <w:bodyDiv w:val="1"/>
      <w:marLeft w:val="0"/>
      <w:marRight w:val="0"/>
      <w:marTop w:val="0"/>
      <w:marBottom w:val="0"/>
      <w:divBdr>
        <w:top w:val="none" w:sz="0" w:space="0" w:color="auto"/>
        <w:left w:val="none" w:sz="0" w:space="0" w:color="auto"/>
        <w:bottom w:val="none" w:sz="0" w:space="0" w:color="auto"/>
        <w:right w:val="none" w:sz="0" w:space="0" w:color="auto"/>
      </w:divBdr>
    </w:div>
    <w:div w:id="643659457">
      <w:bodyDiv w:val="1"/>
      <w:marLeft w:val="0"/>
      <w:marRight w:val="0"/>
      <w:marTop w:val="0"/>
      <w:marBottom w:val="0"/>
      <w:divBdr>
        <w:top w:val="none" w:sz="0" w:space="0" w:color="auto"/>
        <w:left w:val="none" w:sz="0" w:space="0" w:color="auto"/>
        <w:bottom w:val="none" w:sz="0" w:space="0" w:color="auto"/>
        <w:right w:val="none" w:sz="0" w:space="0" w:color="auto"/>
      </w:divBdr>
    </w:div>
    <w:div w:id="686760463">
      <w:bodyDiv w:val="1"/>
      <w:marLeft w:val="0"/>
      <w:marRight w:val="0"/>
      <w:marTop w:val="0"/>
      <w:marBottom w:val="0"/>
      <w:divBdr>
        <w:top w:val="none" w:sz="0" w:space="0" w:color="auto"/>
        <w:left w:val="none" w:sz="0" w:space="0" w:color="auto"/>
        <w:bottom w:val="none" w:sz="0" w:space="0" w:color="auto"/>
        <w:right w:val="none" w:sz="0" w:space="0" w:color="auto"/>
      </w:divBdr>
    </w:div>
    <w:div w:id="711154248">
      <w:bodyDiv w:val="1"/>
      <w:marLeft w:val="0"/>
      <w:marRight w:val="0"/>
      <w:marTop w:val="0"/>
      <w:marBottom w:val="0"/>
      <w:divBdr>
        <w:top w:val="none" w:sz="0" w:space="0" w:color="auto"/>
        <w:left w:val="none" w:sz="0" w:space="0" w:color="auto"/>
        <w:bottom w:val="none" w:sz="0" w:space="0" w:color="auto"/>
        <w:right w:val="none" w:sz="0" w:space="0" w:color="auto"/>
      </w:divBdr>
    </w:div>
    <w:div w:id="809782152">
      <w:bodyDiv w:val="1"/>
      <w:marLeft w:val="0"/>
      <w:marRight w:val="0"/>
      <w:marTop w:val="0"/>
      <w:marBottom w:val="0"/>
      <w:divBdr>
        <w:top w:val="none" w:sz="0" w:space="0" w:color="auto"/>
        <w:left w:val="none" w:sz="0" w:space="0" w:color="auto"/>
        <w:bottom w:val="none" w:sz="0" w:space="0" w:color="auto"/>
        <w:right w:val="none" w:sz="0" w:space="0" w:color="auto"/>
      </w:divBdr>
    </w:div>
    <w:div w:id="840318501">
      <w:bodyDiv w:val="1"/>
      <w:marLeft w:val="0"/>
      <w:marRight w:val="0"/>
      <w:marTop w:val="0"/>
      <w:marBottom w:val="0"/>
      <w:divBdr>
        <w:top w:val="none" w:sz="0" w:space="0" w:color="auto"/>
        <w:left w:val="none" w:sz="0" w:space="0" w:color="auto"/>
        <w:bottom w:val="none" w:sz="0" w:space="0" w:color="auto"/>
        <w:right w:val="none" w:sz="0" w:space="0" w:color="auto"/>
      </w:divBdr>
    </w:div>
    <w:div w:id="848914205">
      <w:bodyDiv w:val="1"/>
      <w:marLeft w:val="0"/>
      <w:marRight w:val="0"/>
      <w:marTop w:val="0"/>
      <w:marBottom w:val="0"/>
      <w:divBdr>
        <w:top w:val="none" w:sz="0" w:space="0" w:color="auto"/>
        <w:left w:val="none" w:sz="0" w:space="0" w:color="auto"/>
        <w:bottom w:val="none" w:sz="0" w:space="0" w:color="auto"/>
        <w:right w:val="none" w:sz="0" w:space="0" w:color="auto"/>
      </w:divBdr>
    </w:div>
    <w:div w:id="856508310">
      <w:bodyDiv w:val="1"/>
      <w:marLeft w:val="0"/>
      <w:marRight w:val="0"/>
      <w:marTop w:val="0"/>
      <w:marBottom w:val="0"/>
      <w:divBdr>
        <w:top w:val="none" w:sz="0" w:space="0" w:color="auto"/>
        <w:left w:val="none" w:sz="0" w:space="0" w:color="auto"/>
        <w:bottom w:val="none" w:sz="0" w:space="0" w:color="auto"/>
        <w:right w:val="none" w:sz="0" w:space="0" w:color="auto"/>
      </w:divBdr>
    </w:div>
    <w:div w:id="858353014">
      <w:bodyDiv w:val="1"/>
      <w:marLeft w:val="0"/>
      <w:marRight w:val="0"/>
      <w:marTop w:val="0"/>
      <w:marBottom w:val="0"/>
      <w:divBdr>
        <w:top w:val="none" w:sz="0" w:space="0" w:color="auto"/>
        <w:left w:val="none" w:sz="0" w:space="0" w:color="auto"/>
        <w:bottom w:val="none" w:sz="0" w:space="0" w:color="auto"/>
        <w:right w:val="none" w:sz="0" w:space="0" w:color="auto"/>
      </w:divBdr>
    </w:div>
    <w:div w:id="874853622">
      <w:bodyDiv w:val="1"/>
      <w:marLeft w:val="0"/>
      <w:marRight w:val="0"/>
      <w:marTop w:val="0"/>
      <w:marBottom w:val="0"/>
      <w:divBdr>
        <w:top w:val="none" w:sz="0" w:space="0" w:color="auto"/>
        <w:left w:val="none" w:sz="0" w:space="0" w:color="auto"/>
        <w:bottom w:val="none" w:sz="0" w:space="0" w:color="auto"/>
        <w:right w:val="none" w:sz="0" w:space="0" w:color="auto"/>
      </w:divBdr>
    </w:div>
    <w:div w:id="891844642">
      <w:bodyDiv w:val="1"/>
      <w:marLeft w:val="0"/>
      <w:marRight w:val="0"/>
      <w:marTop w:val="0"/>
      <w:marBottom w:val="0"/>
      <w:divBdr>
        <w:top w:val="none" w:sz="0" w:space="0" w:color="auto"/>
        <w:left w:val="none" w:sz="0" w:space="0" w:color="auto"/>
        <w:bottom w:val="none" w:sz="0" w:space="0" w:color="auto"/>
        <w:right w:val="none" w:sz="0" w:space="0" w:color="auto"/>
      </w:divBdr>
    </w:div>
    <w:div w:id="905721511">
      <w:bodyDiv w:val="1"/>
      <w:marLeft w:val="0"/>
      <w:marRight w:val="0"/>
      <w:marTop w:val="0"/>
      <w:marBottom w:val="0"/>
      <w:divBdr>
        <w:top w:val="none" w:sz="0" w:space="0" w:color="auto"/>
        <w:left w:val="none" w:sz="0" w:space="0" w:color="auto"/>
        <w:bottom w:val="none" w:sz="0" w:space="0" w:color="auto"/>
        <w:right w:val="none" w:sz="0" w:space="0" w:color="auto"/>
      </w:divBdr>
    </w:div>
    <w:div w:id="940723980">
      <w:bodyDiv w:val="1"/>
      <w:marLeft w:val="0"/>
      <w:marRight w:val="0"/>
      <w:marTop w:val="0"/>
      <w:marBottom w:val="0"/>
      <w:divBdr>
        <w:top w:val="none" w:sz="0" w:space="0" w:color="auto"/>
        <w:left w:val="none" w:sz="0" w:space="0" w:color="auto"/>
        <w:bottom w:val="none" w:sz="0" w:space="0" w:color="auto"/>
        <w:right w:val="none" w:sz="0" w:space="0" w:color="auto"/>
      </w:divBdr>
    </w:div>
    <w:div w:id="942301233">
      <w:bodyDiv w:val="1"/>
      <w:marLeft w:val="0"/>
      <w:marRight w:val="0"/>
      <w:marTop w:val="0"/>
      <w:marBottom w:val="0"/>
      <w:divBdr>
        <w:top w:val="none" w:sz="0" w:space="0" w:color="auto"/>
        <w:left w:val="none" w:sz="0" w:space="0" w:color="auto"/>
        <w:bottom w:val="none" w:sz="0" w:space="0" w:color="auto"/>
        <w:right w:val="none" w:sz="0" w:space="0" w:color="auto"/>
      </w:divBdr>
    </w:div>
    <w:div w:id="958486476">
      <w:bodyDiv w:val="1"/>
      <w:marLeft w:val="0"/>
      <w:marRight w:val="0"/>
      <w:marTop w:val="0"/>
      <w:marBottom w:val="0"/>
      <w:divBdr>
        <w:top w:val="none" w:sz="0" w:space="0" w:color="auto"/>
        <w:left w:val="none" w:sz="0" w:space="0" w:color="auto"/>
        <w:bottom w:val="none" w:sz="0" w:space="0" w:color="auto"/>
        <w:right w:val="none" w:sz="0" w:space="0" w:color="auto"/>
      </w:divBdr>
    </w:div>
    <w:div w:id="966350481">
      <w:bodyDiv w:val="1"/>
      <w:marLeft w:val="0"/>
      <w:marRight w:val="0"/>
      <w:marTop w:val="0"/>
      <w:marBottom w:val="0"/>
      <w:divBdr>
        <w:top w:val="none" w:sz="0" w:space="0" w:color="auto"/>
        <w:left w:val="none" w:sz="0" w:space="0" w:color="auto"/>
        <w:bottom w:val="none" w:sz="0" w:space="0" w:color="auto"/>
        <w:right w:val="none" w:sz="0" w:space="0" w:color="auto"/>
      </w:divBdr>
    </w:div>
    <w:div w:id="976102535">
      <w:bodyDiv w:val="1"/>
      <w:marLeft w:val="0"/>
      <w:marRight w:val="0"/>
      <w:marTop w:val="0"/>
      <w:marBottom w:val="0"/>
      <w:divBdr>
        <w:top w:val="none" w:sz="0" w:space="0" w:color="auto"/>
        <w:left w:val="none" w:sz="0" w:space="0" w:color="auto"/>
        <w:bottom w:val="none" w:sz="0" w:space="0" w:color="auto"/>
        <w:right w:val="none" w:sz="0" w:space="0" w:color="auto"/>
      </w:divBdr>
    </w:div>
    <w:div w:id="1009671811">
      <w:bodyDiv w:val="1"/>
      <w:marLeft w:val="0"/>
      <w:marRight w:val="0"/>
      <w:marTop w:val="0"/>
      <w:marBottom w:val="0"/>
      <w:divBdr>
        <w:top w:val="none" w:sz="0" w:space="0" w:color="auto"/>
        <w:left w:val="none" w:sz="0" w:space="0" w:color="auto"/>
        <w:bottom w:val="none" w:sz="0" w:space="0" w:color="auto"/>
        <w:right w:val="none" w:sz="0" w:space="0" w:color="auto"/>
      </w:divBdr>
    </w:div>
    <w:div w:id="1014840843">
      <w:bodyDiv w:val="1"/>
      <w:marLeft w:val="0"/>
      <w:marRight w:val="0"/>
      <w:marTop w:val="0"/>
      <w:marBottom w:val="0"/>
      <w:divBdr>
        <w:top w:val="none" w:sz="0" w:space="0" w:color="auto"/>
        <w:left w:val="none" w:sz="0" w:space="0" w:color="auto"/>
        <w:bottom w:val="none" w:sz="0" w:space="0" w:color="auto"/>
        <w:right w:val="none" w:sz="0" w:space="0" w:color="auto"/>
      </w:divBdr>
    </w:div>
    <w:div w:id="1031224144">
      <w:bodyDiv w:val="1"/>
      <w:marLeft w:val="0"/>
      <w:marRight w:val="0"/>
      <w:marTop w:val="0"/>
      <w:marBottom w:val="0"/>
      <w:divBdr>
        <w:top w:val="none" w:sz="0" w:space="0" w:color="auto"/>
        <w:left w:val="none" w:sz="0" w:space="0" w:color="auto"/>
        <w:bottom w:val="none" w:sz="0" w:space="0" w:color="auto"/>
        <w:right w:val="none" w:sz="0" w:space="0" w:color="auto"/>
      </w:divBdr>
    </w:div>
    <w:div w:id="1056854082">
      <w:bodyDiv w:val="1"/>
      <w:marLeft w:val="0"/>
      <w:marRight w:val="0"/>
      <w:marTop w:val="0"/>
      <w:marBottom w:val="0"/>
      <w:divBdr>
        <w:top w:val="none" w:sz="0" w:space="0" w:color="auto"/>
        <w:left w:val="none" w:sz="0" w:space="0" w:color="auto"/>
        <w:bottom w:val="none" w:sz="0" w:space="0" w:color="auto"/>
        <w:right w:val="none" w:sz="0" w:space="0" w:color="auto"/>
      </w:divBdr>
    </w:div>
    <w:div w:id="1069421205">
      <w:bodyDiv w:val="1"/>
      <w:marLeft w:val="0"/>
      <w:marRight w:val="0"/>
      <w:marTop w:val="0"/>
      <w:marBottom w:val="0"/>
      <w:divBdr>
        <w:top w:val="none" w:sz="0" w:space="0" w:color="auto"/>
        <w:left w:val="none" w:sz="0" w:space="0" w:color="auto"/>
        <w:bottom w:val="none" w:sz="0" w:space="0" w:color="auto"/>
        <w:right w:val="none" w:sz="0" w:space="0" w:color="auto"/>
      </w:divBdr>
    </w:div>
    <w:div w:id="1096100168">
      <w:bodyDiv w:val="1"/>
      <w:marLeft w:val="0"/>
      <w:marRight w:val="0"/>
      <w:marTop w:val="0"/>
      <w:marBottom w:val="0"/>
      <w:divBdr>
        <w:top w:val="none" w:sz="0" w:space="0" w:color="auto"/>
        <w:left w:val="none" w:sz="0" w:space="0" w:color="auto"/>
        <w:bottom w:val="none" w:sz="0" w:space="0" w:color="auto"/>
        <w:right w:val="none" w:sz="0" w:space="0" w:color="auto"/>
      </w:divBdr>
    </w:div>
    <w:div w:id="1105350378">
      <w:bodyDiv w:val="1"/>
      <w:marLeft w:val="0"/>
      <w:marRight w:val="0"/>
      <w:marTop w:val="0"/>
      <w:marBottom w:val="0"/>
      <w:divBdr>
        <w:top w:val="none" w:sz="0" w:space="0" w:color="auto"/>
        <w:left w:val="none" w:sz="0" w:space="0" w:color="auto"/>
        <w:bottom w:val="none" w:sz="0" w:space="0" w:color="auto"/>
        <w:right w:val="none" w:sz="0" w:space="0" w:color="auto"/>
      </w:divBdr>
      <w:divsChild>
        <w:div w:id="697119238">
          <w:marLeft w:val="446"/>
          <w:marRight w:val="0"/>
          <w:marTop w:val="0"/>
          <w:marBottom w:val="0"/>
          <w:divBdr>
            <w:top w:val="none" w:sz="0" w:space="0" w:color="auto"/>
            <w:left w:val="none" w:sz="0" w:space="0" w:color="auto"/>
            <w:bottom w:val="none" w:sz="0" w:space="0" w:color="auto"/>
            <w:right w:val="none" w:sz="0" w:space="0" w:color="auto"/>
          </w:divBdr>
        </w:div>
        <w:div w:id="1296718841">
          <w:marLeft w:val="446"/>
          <w:marRight w:val="0"/>
          <w:marTop w:val="0"/>
          <w:marBottom w:val="0"/>
          <w:divBdr>
            <w:top w:val="none" w:sz="0" w:space="0" w:color="auto"/>
            <w:left w:val="none" w:sz="0" w:space="0" w:color="auto"/>
            <w:bottom w:val="none" w:sz="0" w:space="0" w:color="auto"/>
            <w:right w:val="none" w:sz="0" w:space="0" w:color="auto"/>
          </w:divBdr>
        </w:div>
        <w:div w:id="1587573717">
          <w:marLeft w:val="446"/>
          <w:marRight w:val="0"/>
          <w:marTop w:val="0"/>
          <w:marBottom w:val="0"/>
          <w:divBdr>
            <w:top w:val="none" w:sz="0" w:space="0" w:color="auto"/>
            <w:left w:val="none" w:sz="0" w:space="0" w:color="auto"/>
            <w:bottom w:val="none" w:sz="0" w:space="0" w:color="auto"/>
            <w:right w:val="none" w:sz="0" w:space="0" w:color="auto"/>
          </w:divBdr>
        </w:div>
        <w:div w:id="32191278">
          <w:marLeft w:val="446"/>
          <w:marRight w:val="0"/>
          <w:marTop w:val="0"/>
          <w:marBottom w:val="0"/>
          <w:divBdr>
            <w:top w:val="none" w:sz="0" w:space="0" w:color="auto"/>
            <w:left w:val="none" w:sz="0" w:space="0" w:color="auto"/>
            <w:bottom w:val="none" w:sz="0" w:space="0" w:color="auto"/>
            <w:right w:val="none" w:sz="0" w:space="0" w:color="auto"/>
          </w:divBdr>
        </w:div>
        <w:div w:id="1926496615">
          <w:marLeft w:val="446"/>
          <w:marRight w:val="0"/>
          <w:marTop w:val="0"/>
          <w:marBottom w:val="0"/>
          <w:divBdr>
            <w:top w:val="none" w:sz="0" w:space="0" w:color="auto"/>
            <w:left w:val="none" w:sz="0" w:space="0" w:color="auto"/>
            <w:bottom w:val="none" w:sz="0" w:space="0" w:color="auto"/>
            <w:right w:val="none" w:sz="0" w:space="0" w:color="auto"/>
          </w:divBdr>
        </w:div>
      </w:divsChild>
    </w:div>
    <w:div w:id="1181167026">
      <w:bodyDiv w:val="1"/>
      <w:marLeft w:val="0"/>
      <w:marRight w:val="0"/>
      <w:marTop w:val="0"/>
      <w:marBottom w:val="0"/>
      <w:divBdr>
        <w:top w:val="none" w:sz="0" w:space="0" w:color="auto"/>
        <w:left w:val="none" w:sz="0" w:space="0" w:color="auto"/>
        <w:bottom w:val="none" w:sz="0" w:space="0" w:color="auto"/>
        <w:right w:val="none" w:sz="0" w:space="0" w:color="auto"/>
      </w:divBdr>
    </w:div>
    <w:div w:id="1191603838">
      <w:bodyDiv w:val="1"/>
      <w:marLeft w:val="0"/>
      <w:marRight w:val="0"/>
      <w:marTop w:val="0"/>
      <w:marBottom w:val="0"/>
      <w:divBdr>
        <w:top w:val="none" w:sz="0" w:space="0" w:color="auto"/>
        <w:left w:val="none" w:sz="0" w:space="0" w:color="auto"/>
        <w:bottom w:val="none" w:sz="0" w:space="0" w:color="auto"/>
        <w:right w:val="none" w:sz="0" w:space="0" w:color="auto"/>
      </w:divBdr>
    </w:div>
    <w:div w:id="1193348541">
      <w:bodyDiv w:val="1"/>
      <w:marLeft w:val="0"/>
      <w:marRight w:val="0"/>
      <w:marTop w:val="0"/>
      <w:marBottom w:val="0"/>
      <w:divBdr>
        <w:top w:val="none" w:sz="0" w:space="0" w:color="auto"/>
        <w:left w:val="none" w:sz="0" w:space="0" w:color="auto"/>
        <w:bottom w:val="none" w:sz="0" w:space="0" w:color="auto"/>
        <w:right w:val="none" w:sz="0" w:space="0" w:color="auto"/>
      </w:divBdr>
    </w:div>
    <w:div w:id="1215384787">
      <w:bodyDiv w:val="1"/>
      <w:marLeft w:val="0"/>
      <w:marRight w:val="0"/>
      <w:marTop w:val="0"/>
      <w:marBottom w:val="0"/>
      <w:divBdr>
        <w:top w:val="none" w:sz="0" w:space="0" w:color="auto"/>
        <w:left w:val="none" w:sz="0" w:space="0" w:color="auto"/>
        <w:bottom w:val="none" w:sz="0" w:space="0" w:color="auto"/>
        <w:right w:val="none" w:sz="0" w:space="0" w:color="auto"/>
      </w:divBdr>
    </w:div>
    <w:div w:id="1231424693">
      <w:bodyDiv w:val="1"/>
      <w:marLeft w:val="0"/>
      <w:marRight w:val="0"/>
      <w:marTop w:val="0"/>
      <w:marBottom w:val="0"/>
      <w:divBdr>
        <w:top w:val="none" w:sz="0" w:space="0" w:color="auto"/>
        <w:left w:val="none" w:sz="0" w:space="0" w:color="auto"/>
        <w:bottom w:val="none" w:sz="0" w:space="0" w:color="auto"/>
        <w:right w:val="none" w:sz="0" w:space="0" w:color="auto"/>
      </w:divBdr>
    </w:div>
    <w:div w:id="1284189275">
      <w:bodyDiv w:val="1"/>
      <w:marLeft w:val="0"/>
      <w:marRight w:val="0"/>
      <w:marTop w:val="0"/>
      <w:marBottom w:val="0"/>
      <w:divBdr>
        <w:top w:val="none" w:sz="0" w:space="0" w:color="auto"/>
        <w:left w:val="none" w:sz="0" w:space="0" w:color="auto"/>
        <w:bottom w:val="none" w:sz="0" w:space="0" w:color="auto"/>
        <w:right w:val="none" w:sz="0" w:space="0" w:color="auto"/>
      </w:divBdr>
    </w:div>
    <w:div w:id="1303773818">
      <w:bodyDiv w:val="1"/>
      <w:marLeft w:val="0"/>
      <w:marRight w:val="0"/>
      <w:marTop w:val="0"/>
      <w:marBottom w:val="0"/>
      <w:divBdr>
        <w:top w:val="none" w:sz="0" w:space="0" w:color="auto"/>
        <w:left w:val="none" w:sz="0" w:space="0" w:color="auto"/>
        <w:bottom w:val="none" w:sz="0" w:space="0" w:color="auto"/>
        <w:right w:val="none" w:sz="0" w:space="0" w:color="auto"/>
      </w:divBdr>
    </w:div>
    <w:div w:id="1306471012">
      <w:bodyDiv w:val="1"/>
      <w:marLeft w:val="0"/>
      <w:marRight w:val="0"/>
      <w:marTop w:val="0"/>
      <w:marBottom w:val="0"/>
      <w:divBdr>
        <w:top w:val="none" w:sz="0" w:space="0" w:color="auto"/>
        <w:left w:val="none" w:sz="0" w:space="0" w:color="auto"/>
        <w:bottom w:val="none" w:sz="0" w:space="0" w:color="auto"/>
        <w:right w:val="none" w:sz="0" w:space="0" w:color="auto"/>
      </w:divBdr>
    </w:div>
    <w:div w:id="1310474128">
      <w:bodyDiv w:val="1"/>
      <w:marLeft w:val="0"/>
      <w:marRight w:val="0"/>
      <w:marTop w:val="0"/>
      <w:marBottom w:val="0"/>
      <w:divBdr>
        <w:top w:val="none" w:sz="0" w:space="0" w:color="auto"/>
        <w:left w:val="none" w:sz="0" w:space="0" w:color="auto"/>
        <w:bottom w:val="none" w:sz="0" w:space="0" w:color="auto"/>
        <w:right w:val="none" w:sz="0" w:space="0" w:color="auto"/>
      </w:divBdr>
    </w:div>
    <w:div w:id="1355841034">
      <w:bodyDiv w:val="1"/>
      <w:marLeft w:val="0"/>
      <w:marRight w:val="0"/>
      <w:marTop w:val="0"/>
      <w:marBottom w:val="0"/>
      <w:divBdr>
        <w:top w:val="none" w:sz="0" w:space="0" w:color="auto"/>
        <w:left w:val="none" w:sz="0" w:space="0" w:color="auto"/>
        <w:bottom w:val="none" w:sz="0" w:space="0" w:color="auto"/>
        <w:right w:val="none" w:sz="0" w:space="0" w:color="auto"/>
      </w:divBdr>
    </w:div>
    <w:div w:id="1387952977">
      <w:bodyDiv w:val="1"/>
      <w:marLeft w:val="0"/>
      <w:marRight w:val="0"/>
      <w:marTop w:val="0"/>
      <w:marBottom w:val="0"/>
      <w:divBdr>
        <w:top w:val="none" w:sz="0" w:space="0" w:color="auto"/>
        <w:left w:val="none" w:sz="0" w:space="0" w:color="auto"/>
        <w:bottom w:val="none" w:sz="0" w:space="0" w:color="auto"/>
        <w:right w:val="none" w:sz="0" w:space="0" w:color="auto"/>
      </w:divBdr>
    </w:div>
    <w:div w:id="1472946188">
      <w:bodyDiv w:val="1"/>
      <w:marLeft w:val="0"/>
      <w:marRight w:val="0"/>
      <w:marTop w:val="0"/>
      <w:marBottom w:val="0"/>
      <w:divBdr>
        <w:top w:val="none" w:sz="0" w:space="0" w:color="auto"/>
        <w:left w:val="none" w:sz="0" w:space="0" w:color="auto"/>
        <w:bottom w:val="none" w:sz="0" w:space="0" w:color="auto"/>
        <w:right w:val="none" w:sz="0" w:space="0" w:color="auto"/>
      </w:divBdr>
    </w:div>
    <w:div w:id="1512406297">
      <w:bodyDiv w:val="1"/>
      <w:marLeft w:val="0"/>
      <w:marRight w:val="0"/>
      <w:marTop w:val="0"/>
      <w:marBottom w:val="0"/>
      <w:divBdr>
        <w:top w:val="none" w:sz="0" w:space="0" w:color="auto"/>
        <w:left w:val="none" w:sz="0" w:space="0" w:color="auto"/>
        <w:bottom w:val="none" w:sz="0" w:space="0" w:color="auto"/>
        <w:right w:val="none" w:sz="0" w:space="0" w:color="auto"/>
      </w:divBdr>
    </w:div>
    <w:div w:id="1518999820">
      <w:bodyDiv w:val="1"/>
      <w:marLeft w:val="0"/>
      <w:marRight w:val="0"/>
      <w:marTop w:val="0"/>
      <w:marBottom w:val="0"/>
      <w:divBdr>
        <w:top w:val="none" w:sz="0" w:space="0" w:color="auto"/>
        <w:left w:val="none" w:sz="0" w:space="0" w:color="auto"/>
        <w:bottom w:val="none" w:sz="0" w:space="0" w:color="auto"/>
        <w:right w:val="none" w:sz="0" w:space="0" w:color="auto"/>
      </w:divBdr>
    </w:div>
    <w:div w:id="1525635219">
      <w:bodyDiv w:val="1"/>
      <w:marLeft w:val="0"/>
      <w:marRight w:val="0"/>
      <w:marTop w:val="0"/>
      <w:marBottom w:val="0"/>
      <w:divBdr>
        <w:top w:val="none" w:sz="0" w:space="0" w:color="auto"/>
        <w:left w:val="none" w:sz="0" w:space="0" w:color="auto"/>
        <w:bottom w:val="none" w:sz="0" w:space="0" w:color="auto"/>
        <w:right w:val="none" w:sz="0" w:space="0" w:color="auto"/>
      </w:divBdr>
    </w:div>
    <w:div w:id="1591310697">
      <w:bodyDiv w:val="1"/>
      <w:marLeft w:val="0"/>
      <w:marRight w:val="0"/>
      <w:marTop w:val="0"/>
      <w:marBottom w:val="0"/>
      <w:divBdr>
        <w:top w:val="none" w:sz="0" w:space="0" w:color="auto"/>
        <w:left w:val="none" w:sz="0" w:space="0" w:color="auto"/>
        <w:bottom w:val="none" w:sz="0" w:space="0" w:color="auto"/>
        <w:right w:val="none" w:sz="0" w:space="0" w:color="auto"/>
      </w:divBdr>
    </w:div>
    <w:div w:id="1602756771">
      <w:bodyDiv w:val="1"/>
      <w:marLeft w:val="0"/>
      <w:marRight w:val="0"/>
      <w:marTop w:val="0"/>
      <w:marBottom w:val="0"/>
      <w:divBdr>
        <w:top w:val="none" w:sz="0" w:space="0" w:color="auto"/>
        <w:left w:val="none" w:sz="0" w:space="0" w:color="auto"/>
        <w:bottom w:val="none" w:sz="0" w:space="0" w:color="auto"/>
        <w:right w:val="none" w:sz="0" w:space="0" w:color="auto"/>
      </w:divBdr>
    </w:div>
    <w:div w:id="1605990797">
      <w:bodyDiv w:val="1"/>
      <w:marLeft w:val="0"/>
      <w:marRight w:val="0"/>
      <w:marTop w:val="0"/>
      <w:marBottom w:val="0"/>
      <w:divBdr>
        <w:top w:val="none" w:sz="0" w:space="0" w:color="auto"/>
        <w:left w:val="none" w:sz="0" w:space="0" w:color="auto"/>
        <w:bottom w:val="none" w:sz="0" w:space="0" w:color="auto"/>
        <w:right w:val="none" w:sz="0" w:space="0" w:color="auto"/>
      </w:divBdr>
    </w:div>
    <w:div w:id="1617371790">
      <w:bodyDiv w:val="1"/>
      <w:marLeft w:val="0"/>
      <w:marRight w:val="0"/>
      <w:marTop w:val="0"/>
      <w:marBottom w:val="0"/>
      <w:divBdr>
        <w:top w:val="none" w:sz="0" w:space="0" w:color="auto"/>
        <w:left w:val="none" w:sz="0" w:space="0" w:color="auto"/>
        <w:bottom w:val="none" w:sz="0" w:space="0" w:color="auto"/>
        <w:right w:val="none" w:sz="0" w:space="0" w:color="auto"/>
      </w:divBdr>
    </w:div>
    <w:div w:id="1625765488">
      <w:bodyDiv w:val="1"/>
      <w:marLeft w:val="0"/>
      <w:marRight w:val="0"/>
      <w:marTop w:val="0"/>
      <w:marBottom w:val="0"/>
      <w:divBdr>
        <w:top w:val="none" w:sz="0" w:space="0" w:color="auto"/>
        <w:left w:val="none" w:sz="0" w:space="0" w:color="auto"/>
        <w:bottom w:val="none" w:sz="0" w:space="0" w:color="auto"/>
        <w:right w:val="none" w:sz="0" w:space="0" w:color="auto"/>
      </w:divBdr>
    </w:div>
    <w:div w:id="1628580858">
      <w:bodyDiv w:val="1"/>
      <w:marLeft w:val="0"/>
      <w:marRight w:val="0"/>
      <w:marTop w:val="0"/>
      <w:marBottom w:val="0"/>
      <w:divBdr>
        <w:top w:val="none" w:sz="0" w:space="0" w:color="auto"/>
        <w:left w:val="none" w:sz="0" w:space="0" w:color="auto"/>
        <w:bottom w:val="none" w:sz="0" w:space="0" w:color="auto"/>
        <w:right w:val="none" w:sz="0" w:space="0" w:color="auto"/>
      </w:divBdr>
    </w:div>
    <w:div w:id="1633441408">
      <w:bodyDiv w:val="1"/>
      <w:marLeft w:val="0"/>
      <w:marRight w:val="0"/>
      <w:marTop w:val="0"/>
      <w:marBottom w:val="0"/>
      <w:divBdr>
        <w:top w:val="none" w:sz="0" w:space="0" w:color="auto"/>
        <w:left w:val="none" w:sz="0" w:space="0" w:color="auto"/>
        <w:bottom w:val="none" w:sz="0" w:space="0" w:color="auto"/>
        <w:right w:val="none" w:sz="0" w:space="0" w:color="auto"/>
      </w:divBdr>
    </w:div>
    <w:div w:id="1636062693">
      <w:bodyDiv w:val="1"/>
      <w:marLeft w:val="0"/>
      <w:marRight w:val="0"/>
      <w:marTop w:val="0"/>
      <w:marBottom w:val="0"/>
      <w:divBdr>
        <w:top w:val="none" w:sz="0" w:space="0" w:color="auto"/>
        <w:left w:val="none" w:sz="0" w:space="0" w:color="auto"/>
        <w:bottom w:val="none" w:sz="0" w:space="0" w:color="auto"/>
        <w:right w:val="none" w:sz="0" w:space="0" w:color="auto"/>
      </w:divBdr>
    </w:div>
    <w:div w:id="1640450612">
      <w:bodyDiv w:val="1"/>
      <w:marLeft w:val="0"/>
      <w:marRight w:val="0"/>
      <w:marTop w:val="0"/>
      <w:marBottom w:val="0"/>
      <w:divBdr>
        <w:top w:val="none" w:sz="0" w:space="0" w:color="auto"/>
        <w:left w:val="none" w:sz="0" w:space="0" w:color="auto"/>
        <w:bottom w:val="none" w:sz="0" w:space="0" w:color="auto"/>
        <w:right w:val="none" w:sz="0" w:space="0" w:color="auto"/>
      </w:divBdr>
    </w:div>
    <w:div w:id="1718747561">
      <w:bodyDiv w:val="1"/>
      <w:marLeft w:val="0"/>
      <w:marRight w:val="0"/>
      <w:marTop w:val="0"/>
      <w:marBottom w:val="0"/>
      <w:divBdr>
        <w:top w:val="none" w:sz="0" w:space="0" w:color="auto"/>
        <w:left w:val="none" w:sz="0" w:space="0" w:color="auto"/>
        <w:bottom w:val="none" w:sz="0" w:space="0" w:color="auto"/>
        <w:right w:val="none" w:sz="0" w:space="0" w:color="auto"/>
      </w:divBdr>
    </w:div>
    <w:div w:id="1720475896">
      <w:bodyDiv w:val="1"/>
      <w:marLeft w:val="0"/>
      <w:marRight w:val="0"/>
      <w:marTop w:val="0"/>
      <w:marBottom w:val="0"/>
      <w:divBdr>
        <w:top w:val="none" w:sz="0" w:space="0" w:color="auto"/>
        <w:left w:val="none" w:sz="0" w:space="0" w:color="auto"/>
        <w:bottom w:val="none" w:sz="0" w:space="0" w:color="auto"/>
        <w:right w:val="none" w:sz="0" w:space="0" w:color="auto"/>
      </w:divBdr>
    </w:div>
    <w:div w:id="1723943638">
      <w:bodyDiv w:val="1"/>
      <w:marLeft w:val="0"/>
      <w:marRight w:val="0"/>
      <w:marTop w:val="0"/>
      <w:marBottom w:val="0"/>
      <w:divBdr>
        <w:top w:val="none" w:sz="0" w:space="0" w:color="auto"/>
        <w:left w:val="none" w:sz="0" w:space="0" w:color="auto"/>
        <w:bottom w:val="none" w:sz="0" w:space="0" w:color="auto"/>
        <w:right w:val="none" w:sz="0" w:space="0" w:color="auto"/>
      </w:divBdr>
    </w:div>
    <w:div w:id="1758669707">
      <w:bodyDiv w:val="1"/>
      <w:marLeft w:val="0"/>
      <w:marRight w:val="0"/>
      <w:marTop w:val="0"/>
      <w:marBottom w:val="0"/>
      <w:divBdr>
        <w:top w:val="none" w:sz="0" w:space="0" w:color="auto"/>
        <w:left w:val="none" w:sz="0" w:space="0" w:color="auto"/>
        <w:bottom w:val="none" w:sz="0" w:space="0" w:color="auto"/>
        <w:right w:val="none" w:sz="0" w:space="0" w:color="auto"/>
      </w:divBdr>
    </w:div>
    <w:div w:id="1776289847">
      <w:bodyDiv w:val="1"/>
      <w:marLeft w:val="0"/>
      <w:marRight w:val="0"/>
      <w:marTop w:val="0"/>
      <w:marBottom w:val="0"/>
      <w:divBdr>
        <w:top w:val="none" w:sz="0" w:space="0" w:color="auto"/>
        <w:left w:val="none" w:sz="0" w:space="0" w:color="auto"/>
        <w:bottom w:val="none" w:sz="0" w:space="0" w:color="auto"/>
        <w:right w:val="none" w:sz="0" w:space="0" w:color="auto"/>
      </w:divBdr>
    </w:div>
    <w:div w:id="1790974866">
      <w:bodyDiv w:val="1"/>
      <w:marLeft w:val="0"/>
      <w:marRight w:val="0"/>
      <w:marTop w:val="0"/>
      <w:marBottom w:val="0"/>
      <w:divBdr>
        <w:top w:val="none" w:sz="0" w:space="0" w:color="auto"/>
        <w:left w:val="none" w:sz="0" w:space="0" w:color="auto"/>
        <w:bottom w:val="none" w:sz="0" w:space="0" w:color="auto"/>
        <w:right w:val="none" w:sz="0" w:space="0" w:color="auto"/>
      </w:divBdr>
    </w:div>
    <w:div w:id="1799761496">
      <w:bodyDiv w:val="1"/>
      <w:marLeft w:val="0"/>
      <w:marRight w:val="0"/>
      <w:marTop w:val="0"/>
      <w:marBottom w:val="0"/>
      <w:divBdr>
        <w:top w:val="none" w:sz="0" w:space="0" w:color="auto"/>
        <w:left w:val="none" w:sz="0" w:space="0" w:color="auto"/>
        <w:bottom w:val="none" w:sz="0" w:space="0" w:color="auto"/>
        <w:right w:val="none" w:sz="0" w:space="0" w:color="auto"/>
      </w:divBdr>
    </w:div>
    <w:div w:id="1884515201">
      <w:bodyDiv w:val="1"/>
      <w:marLeft w:val="0"/>
      <w:marRight w:val="0"/>
      <w:marTop w:val="0"/>
      <w:marBottom w:val="0"/>
      <w:divBdr>
        <w:top w:val="none" w:sz="0" w:space="0" w:color="auto"/>
        <w:left w:val="none" w:sz="0" w:space="0" w:color="auto"/>
        <w:bottom w:val="none" w:sz="0" w:space="0" w:color="auto"/>
        <w:right w:val="none" w:sz="0" w:space="0" w:color="auto"/>
      </w:divBdr>
    </w:div>
    <w:div w:id="1891651908">
      <w:bodyDiv w:val="1"/>
      <w:marLeft w:val="0"/>
      <w:marRight w:val="0"/>
      <w:marTop w:val="0"/>
      <w:marBottom w:val="0"/>
      <w:divBdr>
        <w:top w:val="none" w:sz="0" w:space="0" w:color="auto"/>
        <w:left w:val="none" w:sz="0" w:space="0" w:color="auto"/>
        <w:bottom w:val="none" w:sz="0" w:space="0" w:color="auto"/>
        <w:right w:val="none" w:sz="0" w:space="0" w:color="auto"/>
      </w:divBdr>
    </w:div>
    <w:div w:id="1909069487">
      <w:bodyDiv w:val="1"/>
      <w:marLeft w:val="0"/>
      <w:marRight w:val="0"/>
      <w:marTop w:val="0"/>
      <w:marBottom w:val="0"/>
      <w:divBdr>
        <w:top w:val="none" w:sz="0" w:space="0" w:color="auto"/>
        <w:left w:val="none" w:sz="0" w:space="0" w:color="auto"/>
        <w:bottom w:val="none" w:sz="0" w:space="0" w:color="auto"/>
        <w:right w:val="none" w:sz="0" w:space="0" w:color="auto"/>
      </w:divBdr>
    </w:div>
    <w:div w:id="1914462898">
      <w:bodyDiv w:val="1"/>
      <w:marLeft w:val="0"/>
      <w:marRight w:val="0"/>
      <w:marTop w:val="0"/>
      <w:marBottom w:val="0"/>
      <w:divBdr>
        <w:top w:val="none" w:sz="0" w:space="0" w:color="auto"/>
        <w:left w:val="none" w:sz="0" w:space="0" w:color="auto"/>
        <w:bottom w:val="none" w:sz="0" w:space="0" w:color="auto"/>
        <w:right w:val="none" w:sz="0" w:space="0" w:color="auto"/>
      </w:divBdr>
    </w:div>
    <w:div w:id="1949577394">
      <w:bodyDiv w:val="1"/>
      <w:marLeft w:val="0"/>
      <w:marRight w:val="0"/>
      <w:marTop w:val="0"/>
      <w:marBottom w:val="0"/>
      <w:divBdr>
        <w:top w:val="none" w:sz="0" w:space="0" w:color="auto"/>
        <w:left w:val="none" w:sz="0" w:space="0" w:color="auto"/>
        <w:bottom w:val="none" w:sz="0" w:space="0" w:color="auto"/>
        <w:right w:val="none" w:sz="0" w:space="0" w:color="auto"/>
      </w:divBdr>
    </w:div>
    <w:div w:id="1965501428">
      <w:bodyDiv w:val="1"/>
      <w:marLeft w:val="0"/>
      <w:marRight w:val="0"/>
      <w:marTop w:val="0"/>
      <w:marBottom w:val="0"/>
      <w:divBdr>
        <w:top w:val="none" w:sz="0" w:space="0" w:color="auto"/>
        <w:left w:val="none" w:sz="0" w:space="0" w:color="auto"/>
        <w:bottom w:val="none" w:sz="0" w:space="0" w:color="auto"/>
        <w:right w:val="none" w:sz="0" w:space="0" w:color="auto"/>
      </w:divBdr>
    </w:div>
    <w:div w:id="1981156145">
      <w:bodyDiv w:val="1"/>
      <w:marLeft w:val="0"/>
      <w:marRight w:val="0"/>
      <w:marTop w:val="0"/>
      <w:marBottom w:val="0"/>
      <w:divBdr>
        <w:top w:val="none" w:sz="0" w:space="0" w:color="auto"/>
        <w:left w:val="none" w:sz="0" w:space="0" w:color="auto"/>
        <w:bottom w:val="none" w:sz="0" w:space="0" w:color="auto"/>
        <w:right w:val="none" w:sz="0" w:space="0" w:color="auto"/>
      </w:divBdr>
    </w:div>
    <w:div w:id="1995335580">
      <w:bodyDiv w:val="1"/>
      <w:marLeft w:val="0"/>
      <w:marRight w:val="0"/>
      <w:marTop w:val="0"/>
      <w:marBottom w:val="0"/>
      <w:divBdr>
        <w:top w:val="none" w:sz="0" w:space="0" w:color="auto"/>
        <w:left w:val="none" w:sz="0" w:space="0" w:color="auto"/>
        <w:bottom w:val="none" w:sz="0" w:space="0" w:color="auto"/>
        <w:right w:val="none" w:sz="0" w:space="0" w:color="auto"/>
      </w:divBdr>
    </w:div>
    <w:div w:id="2035379771">
      <w:bodyDiv w:val="1"/>
      <w:marLeft w:val="0"/>
      <w:marRight w:val="0"/>
      <w:marTop w:val="0"/>
      <w:marBottom w:val="0"/>
      <w:divBdr>
        <w:top w:val="none" w:sz="0" w:space="0" w:color="auto"/>
        <w:left w:val="none" w:sz="0" w:space="0" w:color="auto"/>
        <w:bottom w:val="none" w:sz="0" w:space="0" w:color="auto"/>
        <w:right w:val="none" w:sz="0" w:space="0" w:color="auto"/>
      </w:divBdr>
    </w:div>
    <w:div w:id="2048525956">
      <w:bodyDiv w:val="1"/>
      <w:marLeft w:val="0"/>
      <w:marRight w:val="0"/>
      <w:marTop w:val="0"/>
      <w:marBottom w:val="0"/>
      <w:divBdr>
        <w:top w:val="none" w:sz="0" w:space="0" w:color="auto"/>
        <w:left w:val="none" w:sz="0" w:space="0" w:color="auto"/>
        <w:bottom w:val="none" w:sz="0" w:space="0" w:color="auto"/>
        <w:right w:val="none" w:sz="0" w:space="0" w:color="auto"/>
      </w:divBdr>
    </w:div>
    <w:div w:id="2052681119">
      <w:bodyDiv w:val="1"/>
      <w:marLeft w:val="0"/>
      <w:marRight w:val="0"/>
      <w:marTop w:val="0"/>
      <w:marBottom w:val="0"/>
      <w:divBdr>
        <w:top w:val="none" w:sz="0" w:space="0" w:color="auto"/>
        <w:left w:val="none" w:sz="0" w:space="0" w:color="auto"/>
        <w:bottom w:val="none" w:sz="0" w:space="0" w:color="auto"/>
        <w:right w:val="none" w:sz="0" w:space="0" w:color="auto"/>
      </w:divBdr>
    </w:div>
    <w:div w:id="2073848229">
      <w:bodyDiv w:val="1"/>
      <w:marLeft w:val="0"/>
      <w:marRight w:val="0"/>
      <w:marTop w:val="0"/>
      <w:marBottom w:val="0"/>
      <w:divBdr>
        <w:top w:val="none" w:sz="0" w:space="0" w:color="auto"/>
        <w:left w:val="none" w:sz="0" w:space="0" w:color="auto"/>
        <w:bottom w:val="none" w:sz="0" w:space="0" w:color="auto"/>
        <w:right w:val="none" w:sz="0" w:space="0" w:color="auto"/>
      </w:divBdr>
    </w:div>
    <w:div w:id="2073961989">
      <w:bodyDiv w:val="1"/>
      <w:marLeft w:val="0"/>
      <w:marRight w:val="0"/>
      <w:marTop w:val="0"/>
      <w:marBottom w:val="0"/>
      <w:divBdr>
        <w:top w:val="none" w:sz="0" w:space="0" w:color="auto"/>
        <w:left w:val="none" w:sz="0" w:space="0" w:color="auto"/>
        <w:bottom w:val="none" w:sz="0" w:space="0" w:color="auto"/>
        <w:right w:val="none" w:sz="0" w:space="0" w:color="auto"/>
      </w:divBdr>
    </w:div>
    <w:div w:id="2086753687">
      <w:bodyDiv w:val="1"/>
      <w:marLeft w:val="0"/>
      <w:marRight w:val="0"/>
      <w:marTop w:val="0"/>
      <w:marBottom w:val="0"/>
      <w:divBdr>
        <w:top w:val="none" w:sz="0" w:space="0" w:color="auto"/>
        <w:left w:val="none" w:sz="0" w:space="0" w:color="auto"/>
        <w:bottom w:val="none" w:sz="0" w:space="0" w:color="auto"/>
        <w:right w:val="none" w:sz="0" w:space="0" w:color="auto"/>
      </w:divBdr>
    </w:div>
    <w:div w:id="2092963590">
      <w:bodyDiv w:val="1"/>
      <w:marLeft w:val="0"/>
      <w:marRight w:val="0"/>
      <w:marTop w:val="0"/>
      <w:marBottom w:val="0"/>
      <w:divBdr>
        <w:top w:val="none" w:sz="0" w:space="0" w:color="auto"/>
        <w:left w:val="none" w:sz="0" w:space="0" w:color="auto"/>
        <w:bottom w:val="none" w:sz="0" w:space="0" w:color="auto"/>
        <w:right w:val="none" w:sz="0" w:space="0" w:color="auto"/>
      </w:divBdr>
    </w:div>
    <w:div w:id="2122647950">
      <w:bodyDiv w:val="1"/>
      <w:marLeft w:val="0"/>
      <w:marRight w:val="0"/>
      <w:marTop w:val="0"/>
      <w:marBottom w:val="0"/>
      <w:divBdr>
        <w:top w:val="none" w:sz="0" w:space="0" w:color="auto"/>
        <w:left w:val="none" w:sz="0" w:space="0" w:color="auto"/>
        <w:bottom w:val="none" w:sz="0" w:space="0" w:color="auto"/>
        <w:right w:val="none" w:sz="0" w:space="0" w:color="auto"/>
      </w:divBdr>
    </w:div>
    <w:div w:id="2133744690">
      <w:bodyDiv w:val="1"/>
      <w:marLeft w:val="0"/>
      <w:marRight w:val="0"/>
      <w:marTop w:val="0"/>
      <w:marBottom w:val="0"/>
      <w:divBdr>
        <w:top w:val="none" w:sz="0" w:space="0" w:color="auto"/>
        <w:left w:val="none" w:sz="0" w:space="0" w:color="auto"/>
        <w:bottom w:val="none" w:sz="0" w:space="0" w:color="auto"/>
        <w:right w:val="none" w:sz="0" w:space="0" w:color="auto"/>
      </w:divBdr>
    </w:div>
    <w:div w:id="21446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ba807\Desktop\Budgetredeg&#248;relse%202018-2021%20AfdB.dotx" TargetMode="External"/></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44546A"/>
      </a:dk2>
      <a:lt2>
        <a:srgbClr val="E7E6E6"/>
      </a:lt2>
      <a:accent1>
        <a:srgbClr val="5F9F2A"/>
      </a:accent1>
      <a:accent2>
        <a:srgbClr val="409CDA"/>
      </a:accent2>
      <a:accent3>
        <a:srgbClr val="AC1A2F"/>
      </a:accent3>
      <a:accent4>
        <a:srgbClr val="8FBB69"/>
      </a:accent4>
      <a:accent5>
        <a:srgbClr val="7D4089"/>
      </a:accent5>
      <a:accent6>
        <a:srgbClr val="FFC000"/>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CaseOwner xmlns="ff038efd-60d5-4198-a271-1b789e3e63e2">
      <UserInfo>
        <DisplayName>Marianne Pedersen (azba016)</DisplayName>
        <AccountId>121</AccountId>
        <AccountType/>
      </UserInfo>
    </CaseOwner>
    <Beskrivelse xmlns="ff038efd-60d5-4198-a271-1b789e3e63e2">FilStatus: Behandles
</Beskrivelse>
    <Classification xmlns="ff038efd-60d5-4198-a271-1b789e3e63e2" xsi:nil="true"/>
    <Korrespondance xmlns="ff038efd-60d5-4198-a271-1b789e3e63e2">Intern</Korrespondance>
    <Dato xmlns="ff038efd-60d5-4198-a271-1b789e3e63e2">2025-08-11T22:00:00+00:00</Dato>
    <CCMMetadataExtractionStatus xmlns="http://schemas.microsoft.com/sharepoint/v3">CCMPageCount:Idle;CCMCommentCount:Idle</CCMMetadataExtractionStatus>
    <LocalAttachment xmlns="http://schemas.microsoft.com/sharepoint/v3">false</LocalAttachment>
    <Finalized xmlns="http://schemas.microsoft.com/sharepoint/v3">false</Finalized>
    <DocID xmlns="http://schemas.microsoft.com/sharepoint/v3">15236410</DocID>
    <CaseRecordNumber xmlns="http://schemas.microsoft.com/sharepoint/v3">0</CaseRecordNumber>
    <CaseID xmlns="http://schemas.microsoft.com/sharepoint/v3">EMN-2025-011139</CaseID>
    <RegistrationDate xmlns="http://schemas.microsoft.com/sharepoint/v3" xsi:nil="true"/>
    <CCMTemplateID xmlns="http://schemas.microsoft.com/sharepoint/v3">0</CCMTemplateID>
    <Related xmlns="http://schemas.microsoft.com/sharepoint/v3">false</Related>
    <CCMVisualId xmlns="http://schemas.microsoft.com/sharepoint/v3">EMN-2025-011139</CCMVisualId>
    <CCMSystemID xmlns="http://schemas.microsoft.com/sharepoint/v3">f452fd82-f825-4625-94f7-931e364632d9</CCMSystemID>
    <CCMPageCount xmlns="http://schemas.microsoft.com/sharepoint/v3">16</CCMPageCount>
    <CCMCommentCount xmlns="http://schemas.microsoft.com/sharepoint/v3">0</CCMCommentCount>
    <CCMPreviewAnnotationsTasks xmlns="http://schemas.microsoft.com/sharepoint/v3" xsi:nil="true"/>
    <CCMConversation xmlns="http://schemas.microsoft.com/sharepoint/v3" xsi:nil="true"/>
    <CCMPostListPublishStatus xmlns="http://schemas.microsoft.com/sharepoint/v3">Afventer godkendelse</CCMPostListPublishStatus>
    <CCMWorkflowInstanceID xmlns="http://schemas.microsoft.com/sharepoint/v3" xsi:nil="true"/>
    <CCMWorkflowName xmlns="http://schemas.microsoft.com/sharepoint/v3" xsi:nil="true"/>
    <CCMWorkflowSpecialAccess xmlns="http://schemas.microsoft.com/sharepoint/v3">
      <UserInfo>
        <DisplayName/>
        <AccountId xsi:nil="true"/>
        <AccountType/>
      </UserInfo>
    </CCMWorkflowSpecialAccess>
    <CCMWorkflowDidBrokePermissions xmlns="http://schemas.microsoft.com/sharepoint/v3">false</CCMWorkflowDidBrokePermissions>
    <CCMWorkflowSpecialReadAccess xmlns="http://schemas.microsoft.com/sharepoint/v3">
      <UserInfo>
        <DisplayName/>
        <AccountId xsi:nil="true"/>
        <AccountType/>
      </UserInfo>
    </CCMWorkflowSpecialReadAccess>
    <CCMWorkflowStatus xmlns="http://schemas.microsoft.com/sharepoint/v3" xsi:nil="true"/>
    <CCMSubID xmlns="http://schemas.microsoft.com/sharepoint/v3" xsi:nil="true"/>
    <Frist xmlns="C86A27C4-4AB5-40DD-96C7-9BBEAAF3F40F" xsi:nil="true"/>
    <LongTitle xmlns="C86A27C4-4AB5-40DD-96C7-9BBEAAF3F40F">Finansieringsnotat EB2022</LongTitle>
    <CCMAgendaStatus xmlns="C86A27C4-4AB5-40DD-96C7-9BBEAAF3F40F" xsi:nil="true"/>
    <Dokumentgruppe xmlns="C86A27C4-4AB5-40DD-96C7-9BBEAAF3F40F" xsi:nil="true"/>
    <EdocKorrespondance xmlns="C86A27C4-4AB5-40DD-96C7-9BBEAAF3F40F">Afsender: tr@aarhus.dk,Troels Rottbøll
</EdocKorrespondance>
    <CCMMustBeOnPostList xmlns="C86A27C4-4AB5-40DD-96C7-9BBEAAF3F40F">false</CCMMustBeOnPostList>
    <CCMAgendaDocumentStatus xmlns="C86A27C4-4AB5-40DD-96C7-9BBEAAF3F40F" xsi:nil="true"/>
    <Afvisningsaarsag xmlns="C86A27C4-4AB5-40DD-96C7-9BBEAAF3F40F" xsi:nil="true"/>
    <Afsender xmlns="C86A27C4-4AB5-40DD-96C7-9BBEAAF3F40F" xsi:nil="true"/>
    <e98d1497e63448c0b4fc1021de4c39e7 xmlns="C86A27C4-4AB5-40DD-96C7-9BBEAAF3F40F">
      <Terms xmlns="http://schemas.microsoft.com/office/infopath/2007/PartnerControls"/>
    </e98d1497e63448c0b4fc1021de4c39e7>
    <Part xmlns="C86A27C4-4AB5-40DD-96C7-9BBEAAF3F40F"/>
    <Modtagere xmlns="C86A27C4-4AB5-40DD-96C7-9BBEAAF3F40F"/>
    <Forsendelsesdato xmlns="C86A27C4-4AB5-40DD-96C7-9BBEAAF3F40F">2021-10-08T00:00:00+00:00</Forsendelsesdato>
    <PostListDate xmlns="C86A27C4-4AB5-40DD-96C7-9BBEAAF3F40F" xsi:nil="true"/>
    <SvarPaa xmlns="C86A27C4-4AB5-40DD-96C7-9BBEAAF3F40F"/>
    <CCMMeetingCaseLink xmlns="C86A27C4-4AB5-40DD-96C7-9BBEAAF3F40F">
      <Url xsi:nil="true"/>
      <Description xsi:nil="true"/>
    </CCMMeetingCaseLink>
    <CCMAgendaItemId xmlns="C86A27C4-4AB5-40DD-96C7-9BBEAAF3F40F" xsi:nil="true"/>
    <ErBesvaret xmlns="C86A27C4-4AB5-40DD-96C7-9BBEAAF3F40F">false</ErBesvaret>
    <CCMMeetingCaseId xmlns="C86A27C4-4AB5-40DD-96C7-9BBEAAF3F40F" xsi:nil="true"/>
    <EdocDocId xmlns="C86A27C4-4AB5-40DD-96C7-9BBEAAF3F40F">21/097287-1</EdocDocId>
    <TaxCatchAll xmlns="01935793-7500-4661-a6c6-1fdb86bdacb4"/>
    <CCMManageRelations xmlns="http://schemas.microsoft.com/sharepoint/v3" xsi:nil="true"/>
    <CCMTemplateVersion xmlns="http://schemas.microsoft.com/sharepoint/v3" xsi:nil="true"/>
    <CCMTemplateName xmlns="http://schemas.microsoft.com/sharepoint/v3" xsi:nil="true"/>
    <WasEncrypted xmlns="http://schemas.microsoft.com/sharepoint/v3">false</WasEncrypted>
    <WasSigned xmlns="http://schemas.microsoft.com/sharepoint/v3">false</WasSigned>
    <CCMOnlineStatu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A4CCE3953C3D545998937276D181A37" ma:contentTypeVersion="0" ma:contentTypeDescription="GetOrganized dokument" ma:contentTypeScope="" ma:versionID="f92e6ee9573b9d854014462acbe65f85">
  <xsd:schema xmlns:xsd="http://www.w3.org/2001/XMLSchema" xmlns:xs="http://www.w3.org/2001/XMLSchema" xmlns:p="http://schemas.microsoft.com/office/2006/metadata/properties" xmlns:ns1="http://schemas.microsoft.com/sharepoint/v3" xmlns:ns2="ff038efd-60d5-4198-a271-1b789e3e63e2" xmlns:ns3="C86A27C4-4AB5-40DD-96C7-9BBEAAF3F40F" xmlns:ns4="01935793-7500-4661-a6c6-1fdb86bdacb4" targetNamespace="http://schemas.microsoft.com/office/2006/metadata/properties" ma:root="true" ma:fieldsID="09eb4885e0bc7a591e3f6739e73a6512" ns1:_="" ns2:_="" ns3:_="" ns4:_="">
    <xsd:import namespace="http://schemas.microsoft.com/sharepoint/v3"/>
    <xsd:import namespace="ff038efd-60d5-4198-a271-1b789e3e63e2"/>
    <xsd:import namespace="C86A27C4-4AB5-40DD-96C7-9BBEAAF3F40F"/>
    <xsd:import namespace="01935793-7500-4661-a6c6-1fdb86bdacb4"/>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xsd:element ref="ns1:CCMWorkflowInstanceID" minOccurs="0"/>
                <xsd:element ref="ns1:CCMWorkflowStatus" minOccurs="0"/>
                <xsd:element ref="ns1:CCMWorkflowName" minOccurs="0"/>
                <xsd:element ref="ns1:CCMWorkflowSpecialAccess" minOccurs="0"/>
                <xsd:element ref="ns1:CCMWorkflowSpecialReadAccess" minOccurs="0"/>
                <xsd:element ref="ns1:CCMWorkflowDidBroke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Workflow" ma:internalName="CCMWorkflowInstanceID">
      <xsd:simpleType>
        <xsd:restriction base="dms:Text">
          <xsd:maxLength value="255"/>
        </xsd:restriction>
      </xsd:simpleType>
    </xsd:element>
    <xsd:element name="CCMWorkflowStatus" ma:index="65"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element name="CCMWorkflowName" ma:index="66" nillable="true" ma:displayName="Workflow navn" ma:internalName="CCMWorkflowName">
      <xsd:simpleType>
        <xsd:restriction base="dms:Text">
          <xsd:maxLength value="255"/>
        </xsd:restriction>
      </xsd:simpleType>
    </xsd:element>
    <xsd:element name="CCMWorkflowSpecialAccess" ma:index="67"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68"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69" nillable="true" ma:displayName="Workflowet påtrykte særlige rettigheder" ma:default="False" ma:hidden="true" ma:internalName="CCMWorkflowDidBrokePermission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C86A27C4-4AB5-40DD-96C7-9BBEAAF3F40F"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348BD788-5AF6-4913-80FA-2F4F1E640434}"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348BD788-5AF6-4913-80FA-2F4F1E640434}"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C86A27C4-4AB5-40DD-96C7-9BBEAAF3F40F}"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348BD788-5AF6-4913-80FA-2F4F1E640434}"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1" ma:description="" ma:internalName="CCMMustBeOnPostList">
      <xsd:simpleType>
        <xsd:restriction base="dms:Boolean"/>
      </xsd:simpleType>
    </xsd:element>
    <xsd:element name="PostListDate" ma:index="20" nillable="true" ma:displayName="Skal tilføjes til postliste" ma:description="Udfyldes automatisk når dokumentet journaliseres. Indgående: dags dato. Udgående: dags dato + tre hverdag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935793-7500-4661-a6c6-1fdb86bdacb4"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04ae231e-741e-4144-bbf0-498d0197b351}" ma:internalName="TaxCatchAll" ma:showField="CatchAllData" ma:web="01935793-7500-4661-a6c6-1fdb86bda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87ED-2639-4E78-977B-C8C3931FAF2B}">
  <ds:schemaRefs>
    <ds:schemaRef ds:uri="http://purl.org/dc/elements/1.1/"/>
    <ds:schemaRef ds:uri="http://schemas.microsoft.com/office/infopath/2007/PartnerControls"/>
    <ds:schemaRef ds:uri="C86A27C4-4AB5-40DD-96C7-9BBEAAF3F40F"/>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01935793-7500-4661-a6c6-1fdb86bdacb4"/>
    <ds:schemaRef ds:uri="ff038efd-60d5-4198-a271-1b789e3e63e2"/>
    <ds:schemaRef ds:uri="http://www.w3.org/XML/1998/namespace"/>
    <ds:schemaRef ds:uri="http://purl.org/dc/dcmitype/"/>
  </ds:schemaRefs>
</ds:datastoreItem>
</file>

<file path=customXml/itemProps2.xml><?xml version="1.0" encoding="utf-8"?>
<ds:datastoreItem xmlns:ds="http://schemas.openxmlformats.org/officeDocument/2006/customXml" ds:itemID="{850385D0-DDD6-4A1A-ACE3-39D415572F70}">
  <ds:schemaRefs>
    <ds:schemaRef ds:uri="http://schemas.microsoft.com/sharepoint/v3/contenttype/forms"/>
  </ds:schemaRefs>
</ds:datastoreItem>
</file>

<file path=customXml/itemProps3.xml><?xml version="1.0" encoding="utf-8"?>
<ds:datastoreItem xmlns:ds="http://schemas.openxmlformats.org/officeDocument/2006/customXml" ds:itemID="{517E67A1-21F3-4DDA-BF42-ABA09AA71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C86A27C4-4AB5-40DD-96C7-9BBEAAF3F40F"/>
    <ds:schemaRef ds:uri="01935793-7500-4661-a6c6-1fdb86bda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288CF-B3BF-423C-B31B-8CA6831C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Budgetredegørelse 2018-2021 AfdB</Template>
  <TotalTime>2</TotalTime>
  <Pages>16</Pages>
  <Words>5954</Words>
  <Characters>36320</Characters>
  <Application>Microsoft Office Word</Application>
  <DocSecurity>0</DocSecurity>
  <Lines>302</Lines>
  <Paragraphs>84</Paragraphs>
  <ScaleCrop>false</ScaleCrop>
  <HeadingPairs>
    <vt:vector size="2" baseType="variant">
      <vt:variant>
        <vt:lpstr>Titel</vt:lpstr>
      </vt:variant>
      <vt:variant>
        <vt:i4>1</vt:i4>
      </vt:variant>
    </vt:vector>
  </HeadingPairs>
  <TitlesOfParts>
    <vt:vector size="1" baseType="lpstr">
      <vt:lpstr>Finansieringsnotat EB2026</vt:lpstr>
    </vt:vector>
  </TitlesOfParts>
  <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Finansieringsnotat EB2026</dc:title>
  <dc:subject/>
  <dc:creator>Troels Rottbøll</dc:creator>
  <cp:keywords/>
  <dc:description/>
  <cp:lastModifiedBy>Troels Rottbøll</cp:lastModifiedBy>
  <cp:revision>2</cp:revision>
  <cp:lastPrinted>2018-09-04T12:57:00Z</cp:lastPrinted>
  <dcterms:created xsi:type="dcterms:W3CDTF">2025-11-24T14:51:00Z</dcterms:created>
  <dcterms:modified xsi:type="dcterms:W3CDTF">2025-11-24T14:51:00Z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ContentTypeId">
    <vt:lpwstr>0x010100AC085CFC53BC46CEA2EADE194AD9D482005A4CCE3953C3D545998937276D181A37</vt:lpwstr>
  </property>
  <property fmtid="{D5CDD505-2E9C-101B-9397-08002B2CF9AE}" pid="4" name="BackOfficeType">
    <vt:lpwstr>growBusiness Solutions</vt:lpwstr>
  </property>
  <property fmtid="{D5CDD505-2E9C-101B-9397-08002B2CF9AE}" pid="5" name="Server">
    <vt:lpwstr>edoc:8080</vt:lpwstr>
  </property>
  <property fmtid="{D5CDD505-2E9C-101B-9397-08002B2CF9AE}" pid="6" name="Protocol">
    <vt:lpwstr>off</vt:lpwstr>
  </property>
  <property fmtid="{D5CDD505-2E9C-101B-9397-08002B2CF9AE}" pid="7" name="Site">
    <vt:lpwstr>/locator.aspx</vt:lpwstr>
  </property>
  <property fmtid="{D5CDD505-2E9C-101B-9397-08002B2CF9AE}" pid="8" name="FileID">
    <vt:lpwstr>13546753</vt:lpwstr>
  </property>
  <property fmtid="{D5CDD505-2E9C-101B-9397-08002B2CF9AE}" pid="9" name="VerID">
    <vt:lpwstr>0</vt:lpwstr>
  </property>
  <property fmtid="{D5CDD505-2E9C-101B-9397-08002B2CF9AE}" pid="10" name="FilePath">
    <vt:lpwstr>\\SrvEdocPFi01\eDocUsers\work\adm\az31296</vt:lpwstr>
  </property>
  <property fmtid="{D5CDD505-2E9C-101B-9397-08002B2CF9AE}" pid="11" name="FileName">
    <vt:lpwstr>21-097287-1 Finansieringsnotat EB2022 13546753_7737573_0.DOCX</vt:lpwstr>
  </property>
  <property fmtid="{D5CDD505-2E9C-101B-9397-08002B2CF9AE}" pid="12" name="FullFileName">
    <vt:lpwstr>\\SrvEdocPFi01\eDocUsers\work\adm\az31296\21-097287-1 Finansieringsnotat EB2022 13546753_7737573_0.DOCX</vt:lpwstr>
  </property>
  <property fmtid="{D5CDD505-2E9C-101B-9397-08002B2CF9AE}" pid="13" name="CCMSystem">
    <vt:lpwstr> </vt:lpwstr>
  </property>
  <property fmtid="{D5CDD505-2E9C-101B-9397-08002B2CF9AE}" pid="14" name="Dokumenttype">
    <vt:lpwstr/>
  </property>
  <property fmtid="{D5CDD505-2E9C-101B-9397-08002B2CF9AE}" pid="15" name="Created">
    <vt:lpwstr>2021-10-08T11:25:19</vt:lpwstr>
  </property>
  <property fmtid="{D5CDD505-2E9C-101B-9397-08002B2CF9AE}" pid="16" name="CCMOneDriveID">
    <vt:lpwstr/>
  </property>
  <property fmtid="{D5CDD505-2E9C-101B-9397-08002B2CF9AE}" pid="17" name="CCMOneDriveOwnerID">
    <vt:lpwstr/>
  </property>
  <property fmtid="{D5CDD505-2E9C-101B-9397-08002B2CF9AE}" pid="18" name="CCMOneDriveItemID">
    <vt:lpwstr/>
  </property>
  <property fmtid="{D5CDD505-2E9C-101B-9397-08002B2CF9AE}" pid="19" name="CCMIsSharedOnOneDrive">
    <vt:bool>false</vt:bool>
  </property>
  <property fmtid="{D5CDD505-2E9C-101B-9397-08002B2CF9AE}" pid="20" name="CCMEventContext">
    <vt:lpwstr>5dfe3c0a-ca0d-441e-b3b4-31bfb69fde81</vt:lpwstr>
  </property>
  <property fmtid="{D5CDD505-2E9C-101B-9397-08002B2CF9AE}" pid="21" name="CCMCommunication">
    <vt:lpwstr>GOWorkflowDocumentLastCheckedInVersion;14.0</vt:lpwstr>
  </property>
  <property fmtid="{D5CDD505-2E9C-101B-9397-08002B2CF9AE}" pid="22" name="CCMReplyToDocCacheId_AA145BE6-B859-401A-B2E0-03BB3E7048FC_">
    <vt:lpwstr>CCMReplyToDocCacheId_AA145BE6-B859-401A-B2E0-03BB3E7048FC_7e640b91-186f-423b-922b-73393b3a1d8c</vt:lpwstr>
  </property>
  <property fmtid="{D5CDD505-2E9C-101B-9397-08002B2CF9AE}" pid="23" name="CCMEventContext_DocumentGOWorkflowUpdatingEvent">
    <vt:lpwstr>c68bee70-d82b-4ee5-95b4-f5279af0afec</vt:lpwstr>
  </property>
  <property fmtid="{D5CDD505-2E9C-101B-9397-08002B2CF9AE}" pid="24" name="CCMEventContext_DocumentTimelineUpdatingEvent">
    <vt:lpwstr>fbb97528-f970-48e3-aa4e-742da1bca1d3</vt:lpwstr>
  </property>
  <property fmtid="{D5CDD505-2E9C-101B-9397-08002B2CF9AE}" pid="25" name="TemplateUrl">
    <vt:lpwstr/>
  </property>
</Properties>
</file>